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E377B2">
      <w:pPr>
        <w:adjustRightInd w:val="0"/>
        <w:snapToGrid w:val="0"/>
        <w:jc w:val="center"/>
        <w:rPr>
          <w:rFonts w:ascii="彩虹粗仿宋" w:eastAsia="彩虹粗仿宋" w:hAnsi="宋体" w:cs="Arial"/>
          <w:sz w:val="24"/>
        </w:rPr>
      </w:pPr>
    </w:p>
    <w:p w:rsidR="00E377B2" w:rsidRDefault="00AC2CD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泰达宏利汇利债券型证券投资基金</w:t>
      </w:r>
    </w:p>
    <w:p w:rsidR="00E377B2" w:rsidRDefault="00AC2CD0">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AC2CD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基金管理人：泰达宏利基金管理有限公司</w:t>
      </w:r>
    </w:p>
    <w:p w:rsidR="00E377B2" w:rsidRDefault="00AC2CD0">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临时基金托管人：中国建设银行股份有限公司</w:t>
      </w: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E377B2">
      <w:pPr>
        <w:adjustRightInd w:val="0"/>
        <w:snapToGrid w:val="0"/>
        <w:jc w:val="center"/>
        <w:outlineLvl w:val="0"/>
        <w:rPr>
          <w:rFonts w:ascii="彩虹粗仿宋" w:eastAsia="彩虹粗仿宋" w:hAnsi="宋体" w:cs="Arial"/>
          <w:sz w:val="24"/>
        </w:rPr>
      </w:pPr>
    </w:p>
    <w:p w:rsidR="00E377B2" w:rsidRDefault="00AC2CD0">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r>
        <w:rPr>
          <w:rFonts w:ascii="彩虹粗仿宋" w:eastAsia="彩虹粗仿宋" w:hAnsi="宋体" w:cs="Arial" w:hint="eastAsia"/>
          <w:sz w:val="24"/>
        </w:rPr>
        <w:t>二零二一年二月</w:t>
      </w:r>
    </w:p>
    <w:p w:rsidR="00E377B2" w:rsidRDefault="00E377B2">
      <w:pPr>
        <w:adjustRightInd w:val="0"/>
        <w:snapToGrid w:val="0"/>
        <w:jc w:val="center"/>
        <w:rPr>
          <w:rFonts w:ascii="彩虹粗仿宋" w:eastAsia="彩虹粗仿宋" w:hAnsi="宋体" w:cs="Arial"/>
          <w:bCs/>
          <w:sz w:val="24"/>
        </w:rPr>
        <w:sectPr w:rsidR="00E377B2">
          <w:footerReference w:type="even" r:id="rId8"/>
          <w:footerReference w:type="default" r:id="rId9"/>
          <w:pgSz w:w="11906" w:h="16838"/>
          <w:pgMar w:top="1418" w:right="1701" w:bottom="1418" w:left="1701" w:header="851" w:footer="992" w:gutter="0"/>
          <w:cols w:space="425"/>
          <w:docGrid w:type="lines" w:linePitch="312"/>
        </w:sectPr>
      </w:pPr>
    </w:p>
    <w:p w:rsidR="00E377B2" w:rsidRDefault="00AC2CD0">
      <w:pPr>
        <w:jc w:val="center"/>
        <w:rPr>
          <w:rFonts w:ascii="彩虹粗仿宋" w:eastAsia="彩虹粗仿宋"/>
          <w:b/>
          <w:bCs/>
          <w:sz w:val="30"/>
        </w:rPr>
      </w:pPr>
      <w:r>
        <w:rPr>
          <w:rFonts w:ascii="彩虹粗仿宋" w:eastAsia="彩虹粗仿宋" w:hint="eastAsia"/>
          <w:b/>
          <w:bCs/>
          <w:sz w:val="30"/>
        </w:rPr>
        <w:lastRenderedPageBreak/>
        <w:t>目</w:t>
      </w:r>
      <w:r>
        <w:rPr>
          <w:rFonts w:ascii="彩虹粗仿宋" w:eastAsia="彩虹粗仿宋" w:hint="eastAsia"/>
          <w:b/>
          <w:bCs/>
          <w:sz w:val="30"/>
        </w:rPr>
        <w:t xml:space="preserve">    </w:t>
      </w:r>
      <w:r>
        <w:rPr>
          <w:rFonts w:ascii="彩虹粗仿宋" w:eastAsia="彩虹粗仿宋" w:hint="eastAsia"/>
          <w:b/>
          <w:bCs/>
          <w:sz w:val="30"/>
        </w:rPr>
        <w:t>录</w:t>
      </w:r>
      <w:bookmarkStart w:id="0" w:name="_GoBack"/>
      <w:bookmarkEnd w:id="0"/>
    </w:p>
    <w:p w:rsidR="00E377B2" w:rsidRDefault="00AC2CD0" w:rsidP="00BE7042">
      <w:pPr>
        <w:pStyle w:val="23"/>
        <w:tabs>
          <w:tab w:val="right" w:leader="dot" w:pos="8504"/>
        </w:tabs>
        <w:spacing w:line="480" w:lineRule="auto"/>
        <w:rPr>
          <w:noProof/>
          <w:sz w:val="24"/>
          <w:szCs w:val="32"/>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31009" w:history="1">
        <w:r>
          <w:rPr>
            <w:rFonts w:ascii="彩虹粗仿宋" w:eastAsia="彩虹粗仿宋" w:hint="eastAsia"/>
            <w:noProof/>
            <w:sz w:val="24"/>
            <w:szCs w:val="32"/>
          </w:rPr>
          <w:t>一、基金托管协议当事人</w:t>
        </w:r>
        <w:r>
          <w:rPr>
            <w:noProof/>
            <w:sz w:val="24"/>
            <w:szCs w:val="32"/>
          </w:rPr>
          <w:tab/>
        </w:r>
        <w:r>
          <w:rPr>
            <w:noProof/>
            <w:sz w:val="24"/>
            <w:szCs w:val="32"/>
          </w:rPr>
          <w:fldChar w:fldCharType="begin"/>
        </w:r>
        <w:r>
          <w:rPr>
            <w:noProof/>
            <w:sz w:val="24"/>
            <w:szCs w:val="32"/>
          </w:rPr>
          <w:instrText xml:space="preserve"> PAGEREF _Toc31009 </w:instrText>
        </w:r>
        <w:r>
          <w:rPr>
            <w:noProof/>
            <w:sz w:val="24"/>
            <w:szCs w:val="32"/>
          </w:rPr>
          <w:fldChar w:fldCharType="separate"/>
        </w:r>
        <w:r w:rsidR="00BE7042">
          <w:rPr>
            <w:noProof/>
            <w:sz w:val="24"/>
            <w:szCs w:val="32"/>
          </w:rPr>
          <w:t>3</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453" w:history="1">
        <w:r>
          <w:rPr>
            <w:rFonts w:ascii="彩虹粗仿宋" w:eastAsia="彩虹粗仿宋" w:hint="eastAsia"/>
            <w:noProof/>
            <w:sz w:val="24"/>
            <w:szCs w:val="32"/>
          </w:rPr>
          <w:t>二、基金托管协议的依据、目的和原则</w:t>
        </w:r>
        <w:r>
          <w:rPr>
            <w:noProof/>
            <w:sz w:val="24"/>
            <w:szCs w:val="32"/>
          </w:rPr>
          <w:tab/>
        </w:r>
        <w:r>
          <w:rPr>
            <w:noProof/>
            <w:sz w:val="24"/>
            <w:szCs w:val="32"/>
          </w:rPr>
          <w:fldChar w:fldCharType="begin"/>
        </w:r>
        <w:r>
          <w:rPr>
            <w:noProof/>
            <w:sz w:val="24"/>
            <w:szCs w:val="32"/>
          </w:rPr>
          <w:instrText xml:space="preserve"> PAGEREF _Toc2453 </w:instrText>
        </w:r>
        <w:r>
          <w:rPr>
            <w:noProof/>
            <w:sz w:val="24"/>
            <w:szCs w:val="32"/>
          </w:rPr>
          <w:fldChar w:fldCharType="separate"/>
        </w:r>
        <w:r w:rsidR="00BE7042">
          <w:rPr>
            <w:noProof/>
            <w:sz w:val="24"/>
            <w:szCs w:val="32"/>
          </w:rPr>
          <w:t>4</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125" w:history="1">
        <w:r>
          <w:rPr>
            <w:rFonts w:ascii="彩虹粗仿宋" w:eastAsia="彩虹粗仿宋" w:hint="eastAsia"/>
            <w:noProof/>
            <w:sz w:val="24"/>
            <w:szCs w:val="32"/>
          </w:rPr>
          <w:t>三、基金托管人对基金管理人的业务监督和核查</w:t>
        </w:r>
        <w:r>
          <w:rPr>
            <w:noProof/>
            <w:sz w:val="24"/>
            <w:szCs w:val="32"/>
          </w:rPr>
          <w:tab/>
        </w:r>
        <w:r>
          <w:rPr>
            <w:noProof/>
            <w:sz w:val="24"/>
            <w:szCs w:val="32"/>
          </w:rPr>
          <w:fldChar w:fldCharType="begin"/>
        </w:r>
        <w:r>
          <w:rPr>
            <w:noProof/>
            <w:sz w:val="24"/>
            <w:szCs w:val="32"/>
          </w:rPr>
          <w:instrText xml:space="preserve"> PAGEREF _Toc2125 </w:instrText>
        </w:r>
        <w:r>
          <w:rPr>
            <w:noProof/>
            <w:sz w:val="24"/>
            <w:szCs w:val="32"/>
          </w:rPr>
          <w:fldChar w:fldCharType="separate"/>
        </w:r>
        <w:r w:rsidR="00BE7042">
          <w:rPr>
            <w:noProof/>
            <w:sz w:val="24"/>
            <w:szCs w:val="32"/>
          </w:rPr>
          <w:t>4</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4702" w:history="1">
        <w:r>
          <w:rPr>
            <w:rFonts w:ascii="彩虹粗仿宋" w:eastAsia="彩虹粗仿宋" w:hint="eastAsia"/>
            <w:noProof/>
            <w:sz w:val="24"/>
            <w:szCs w:val="32"/>
          </w:rPr>
          <w:t>四、基金管理人对基金托管人的业务核查</w:t>
        </w:r>
        <w:r>
          <w:rPr>
            <w:noProof/>
            <w:sz w:val="24"/>
            <w:szCs w:val="32"/>
          </w:rPr>
          <w:tab/>
        </w:r>
        <w:r>
          <w:rPr>
            <w:noProof/>
            <w:sz w:val="24"/>
            <w:szCs w:val="32"/>
          </w:rPr>
          <w:fldChar w:fldCharType="begin"/>
        </w:r>
        <w:r>
          <w:rPr>
            <w:noProof/>
            <w:sz w:val="24"/>
            <w:szCs w:val="32"/>
          </w:rPr>
          <w:instrText xml:space="preserve"> PAGEREF _Toc4702 </w:instrText>
        </w:r>
        <w:r>
          <w:rPr>
            <w:noProof/>
            <w:sz w:val="24"/>
            <w:szCs w:val="32"/>
          </w:rPr>
          <w:fldChar w:fldCharType="separate"/>
        </w:r>
        <w:r w:rsidR="00BE7042">
          <w:rPr>
            <w:noProof/>
            <w:sz w:val="24"/>
            <w:szCs w:val="32"/>
          </w:rPr>
          <w:t>6</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4116" w:history="1">
        <w:r>
          <w:rPr>
            <w:rFonts w:ascii="彩虹粗仿宋" w:eastAsia="彩虹粗仿宋" w:hint="eastAsia"/>
            <w:noProof/>
            <w:sz w:val="24"/>
            <w:szCs w:val="32"/>
          </w:rPr>
          <w:t>五、基金财产的保管</w:t>
        </w:r>
        <w:r>
          <w:rPr>
            <w:noProof/>
            <w:sz w:val="24"/>
            <w:szCs w:val="32"/>
          </w:rPr>
          <w:tab/>
        </w:r>
        <w:r>
          <w:rPr>
            <w:noProof/>
            <w:sz w:val="24"/>
            <w:szCs w:val="32"/>
          </w:rPr>
          <w:fldChar w:fldCharType="begin"/>
        </w:r>
        <w:r>
          <w:rPr>
            <w:noProof/>
            <w:sz w:val="24"/>
            <w:szCs w:val="32"/>
          </w:rPr>
          <w:instrText xml:space="preserve"> PAGEREF _Toc24116 </w:instrText>
        </w:r>
        <w:r>
          <w:rPr>
            <w:noProof/>
            <w:sz w:val="24"/>
            <w:szCs w:val="32"/>
          </w:rPr>
          <w:fldChar w:fldCharType="separate"/>
        </w:r>
        <w:r w:rsidR="00BE7042">
          <w:rPr>
            <w:noProof/>
            <w:sz w:val="24"/>
            <w:szCs w:val="32"/>
          </w:rPr>
          <w:t>7</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668" w:history="1">
        <w:r>
          <w:rPr>
            <w:rFonts w:ascii="彩虹粗仿宋" w:eastAsia="彩虹粗仿宋" w:hint="eastAsia"/>
            <w:noProof/>
            <w:sz w:val="24"/>
            <w:szCs w:val="32"/>
          </w:rPr>
          <w:t>六、指令的发送、确认及执行</w:t>
        </w:r>
        <w:r>
          <w:rPr>
            <w:noProof/>
            <w:sz w:val="24"/>
            <w:szCs w:val="32"/>
          </w:rPr>
          <w:tab/>
        </w:r>
        <w:r>
          <w:rPr>
            <w:noProof/>
            <w:sz w:val="24"/>
            <w:szCs w:val="32"/>
          </w:rPr>
          <w:fldChar w:fldCharType="begin"/>
        </w:r>
        <w:r>
          <w:rPr>
            <w:noProof/>
            <w:sz w:val="24"/>
            <w:szCs w:val="32"/>
          </w:rPr>
          <w:instrText xml:space="preserve"> PAGEREF _Toc1668 </w:instrText>
        </w:r>
        <w:r>
          <w:rPr>
            <w:noProof/>
            <w:sz w:val="24"/>
            <w:szCs w:val="32"/>
          </w:rPr>
          <w:fldChar w:fldCharType="separate"/>
        </w:r>
        <w:r w:rsidR="00BE7042">
          <w:rPr>
            <w:noProof/>
            <w:sz w:val="24"/>
            <w:szCs w:val="32"/>
          </w:rPr>
          <w:t>9</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9532" w:history="1">
        <w:r>
          <w:rPr>
            <w:rFonts w:ascii="彩虹粗仿宋" w:eastAsia="彩虹粗仿宋" w:hint="eastAsia"/>
            <w:noProof/>
            <w:sz w:val="24"/>
            <w:szCs w:val="32"/>
          </w:rPr>
          <w:t>七、交易及清算交收安排</w:t>
        </w:r>
        <w:r>
          <w:rPr>
            <w:noProof/>
            <w:sz w:val="24"/>
            <w:szCs w:val="32"/>
          </w:rPr>
          <w:tab/>
        </w:r>
        <w:r>
          <w:rPr>
            <w:noProof/>
            <w:sz w:val="24"/>
            <w:szCs w:val="32"/>
          </w:rPr>
          <w:fldChar w:fldCharType="begin"/>
        </w:r>
        <w:r>
          <w:rPr>
            <w:noProof/>
            <w:sz w:val="24"/>
            <w:szCs w:val="32"/>
          </w:rPr>
          <w:instrText xml:space="preserve"> PAGEREF _Toc19532 </w:instrText>
        </w:r>
        <w:r>
          <w:rPr>
            <w:noProof/>
            <w:sz w:val="24"/>
            <w:szCs w:val="32"/>
          </w:rPr>
          <w:fldChar w:fldCharType="separate"/>
        </w:r>
        <w:r w:rsidR="00BE7042">
          <w:rPr>
            <w:noProof/>
            <w:sz w:val="24"/>
            <w:szCs w:val="32"/>
          </w:rPr>
          <w:t>11</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2588" w:history="1">
        <w:r>
          <w:rPr>
            <w:rFonts w:ascii="彩虹粗仿宋" w:eastAsia="彩虹粗仿宋" w:hint="eastAsia"/>
            <w:noProof/>
            <w:sz w:val="24"/>
            <w:szCs w:val="32"/>
          </w:rPr>
          <w:t>八、基金资产净值计算和会计核算</w:t>
        </w:r>
        <w:r>
          <w:rPr>
            <w:noProof/>
            <w:sz w:val="24"/>
            <w:szCs w:val="32"/>
          </w:rPr>
          <w:tab/>
        </w:r>
        <w:r>
          <w:rPr>
            <w:noProof/>
            <w:sz w:val="24"/>
            <w:szCs w:val="32"/>
          </w:rPr>
          <w:fldChar w:fldCharType="begin"/>
        </w:r>
        <w:r>
          <w:rPr>
            <w:noProof/>
            <w:sz w:val="24"/>
            <w:szCs w:val="32"/>
          </w:rPr>
          <w:instrText xml:space="preserve"> PAGEREF _Toc22588 </w:instrText>
        </w:r>
        <w:r>
          <w:rPr>
            <w:noProof/>
            <w:sz w:val="24"/>
            <w:szCs w:val="32"/>
          </w:rPr>
          <w:fldChar w:fldCharType="separate"/>
        </w:r>
        <w:r w:rsidR="00BE7042">
          <w:rPr>
            <w:noProof/>
            <w:sz w:val="24"/>
            <w:szCs w:val="32"/>
          </w:rPr>
          <w:t>14</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4162" w:history="1">
        <w:r>
          <w:rPr>
            <w:rFonts w:ascii="彩虹粗仿宋" w:eastAsia="彩虹粗仿宋" w:hint="eastAsia"/>
            <w:noProof/>
            <w:sz w:val="24"/>
            <w:szCs w:val="32"/>
          </w:rPr>
          <w:t>九、基金收益分配</w:t>
        </w:r>
        <w:r>
          <w:rPr>
            <w:noProof/>
            <w:sz w:val="24"/>
            <w:szCs w:val="32"/>
          </w:rPr>
          <w:tab/>
        </w:r>
        <w:r>
          <w:rPr>
            <w:noProof/>
            <w:sz w:val="24"/>
            <w:szCs w:val="32"/>
          </w:rPr>
          <w:fldChar w:fldCharType="begin"/>
        </w:r>
        <w:r>
          <w:rPr>
            <w:noProof/>
            <w:sz w:val="24"/>
            <w:szCs w:val="32"/>
          </w:rPr>
          <w:instrText xml:space="preserve"> PAGEREF _Toc4162 </w:instrText>
        </w:r>
        <w:r>
          <w:rPr>
            <w:noProof/>
            <w:sz w:val="24"/>
            <w:szCs w:val="32"/>
          </w:rPr>
          <w:fldChar w:fldCharType="separate"/>
        </w:r>
        <w:r w:rsidR="00BE7042">
          <w:rPr>
            <w:noProof/>
            <w:sz w:val="24"/>
            <w:szCs w:val="32"/>
          </w:rPr>
          <w:t>17</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4755" w:history="1">
        <w:r>
          <w:rPr>
            <w:rFonts w:ascii="彩虹粗仿宋" w:eastAsia="彩虹粗仿宋" w:hint="eastAsia"/>
            <w:noProof/>
            <w:sz w:val="24"/>
            <w:szCs w:val="32"/>
          </w:rPr>
          <w:t>十、基金信息披露</w:t>
        </w:r>
        <w:r>
          <w:rPr>
            <w:noProof/>
            <w:sz w:val="24"/>
            <w:szCs w:val="32"/>
          </w:rPr>
          <w:tab/>
        </w:r>
        <w:r>
          <w:rPr>
            <w:noProof/>
            <w:sz w:val="24"/>
            <w:szCs w:val="32"/>
          </w:rPr>
          <w:fldChar w:fldCharType="begin"/>
        </w:r>
        <w:r>
          <w:rPr>
            <w:noProof/>
            <w:sz w:val="24"/>
            <w:szCs w:val="32"/>
          </w:rPr>
          <w:instrText xml:space="preserve"> PAGEREF _Toc14755 </w:instrText>
        </w:r>
        <w:r>
          <w:rPr>
            <w:noProof/>
            <w:sz w:val="24"/>
            <w:szCs w:val="32"/>
          </w:rPr>
          <w:fldChar w:fldCharType="separate"/>
        </w:r>
        <w:r w:rsidR="00BE7042">
          <w:rPr>
            <w:noProof/>
            <w:sz w:val="24"/>
            <w:szCs w:val="32"/>
          </w:rPr>
          <w:t>18</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3127" w:history="1">
        <w:r>
          <w:rPr>
            <w:rFonts w:ascii="彩虹粗仿宋" w:eastAsia="彩虹粗仿宋" w:hint="eastAsia"/>
            <w:noProof/>
            <w:sz w:val="24"/>
            <w:szCs w:val="32"/>
          </w:rPr>
          <w:t>十一、基金费用</w:t>
        </w:r>
        <w:r>
          <w:rPr>
            <w:noProof/>
            <w:sz w:val="24"/>
            <w:szCs w:val="32"/>
          </w:rPr>
          <w:tab/>
        </w:r>
        <w:r>
          <w:rPr>
            <w:noProof/>
            <w:sz w:val="24"/>
            <w:szCs w:val="32"/>
          </w:rPr>
          <w:fldChar w:fldCharType="begin"/>
        </w:r>
        <w:r>
          <w:rPr>
            <w:noProof/>
            <w:sz w:val="24"/>
            <w:szCs w:val="32"/>
          </w:rPr>
          <w:instrText xml:space="preserve"> PAGEREF _Toc23127 </w:instrText>
        </w:r>
        <w:r>
          <w:rPr>
            <w:noProof/>
            <w:sz w:val="24"/>
            <w:szCs w:val="32"/>
          </w:rPr>
          <w:fldChar w:fldCharType="separate"/>
        </w:r>
        <w:r w:rsidR="00BE7042">
          <w:rPr>
            <w:noProof/>
            <w:sz w:val="24"/>
            <w:szCs w:val="32"/>
          </w:rPr>
          <w:t>19</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1809" w:history="1">
        <w:r>
          <w:rPr>
            <w:rFonts w:ascii="彩虹粗仿宋" w:eastAsia="彩虹粗仿宋" w:hint="eastAsia"/>
            <w:noProof/>
            <w:sz w:val="24"/>
            <w:szCs w:val="32"/>
          </w:rPr>
          <w:t>十二、基金份额持有人名册的保管</w:t>
        </w:r>
        <w:r>
          <w:rPr>
            <w:noProof/>
            <w:sz w:val="24"/>
            <w:szCs w:val="32"/>
          </w:rPr>
          <w:tab/>
        </w:r>
        <w:r>
          <w:rPr>
            <w:noProof/>
            <w:sz w:val="24"/>
            <w:szCs w:val="32"/>
          </w:rPr>
          <w:fldChar w:fldCharType="begin"/>
        </w:r>
        <w:r>
          <w:rPr>
            <w:noProof/>
            <w:sz w:val="24"/>
            <w:szCs w:val="32"/>
          </w:rPr>
          <w:instrText xml:space="preserve"> PAGEREF _Toc11809 </w:instrText>
        </w:r>
        <w:r>
          <w:rPr>
            <w:noProof/>
            <w:sz w:val="24"/>
            <w:szCs w:val="32"/>
          </w:rPr>
          <w:fldChar w:fldCharType="separate"/>
        </w:r>
        <w:r w:rsidR="00BE7042">
          <w:rPr>
            <w:noProof/>
            <w:sz w:val="24"/>
            <w:szCs w:val="32"/>
          </w:rPr>
          <w:t>21</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1200" w:history="1">
        <w:r>
          <w:rPr>
            <w:rFonts w:ascii="彩虹粗仿宋" w:eastAsia="彩虹粗仿宋" w:hint="eastAsia"/>
            <w:noProof/>
            <w:sz w:val="24"/>
            <w:szCs w:val="32"/>
          </w:rPr>
          <w:t>十三、基金有关文件档案的保存</w:t>
        </w:r>
        <w:r>
          <w:rPr>
            <w:noProof/>
            <w:sz w:val="24"/>
            <w:szCs w:val="32"/>
          </w:rPr>
          <w:tab/>
        </w:r>
        <w:r>
          <w:rPr>
            <w:noProof/>
            <w:sz w:val="24"/>
            <w:szCs w:val="32"/>
          </w:rPr>
          <w:fldChar w:fldCharType="begin"/>
        </w:r>
        <w:r>
          <w:rPr>
            <w:noProof/>
            <w:sz w:val="24"/>
            <w:szCs w:val="32"/>
          </w:rPr>
          <w:instrText xml:space="preserve"> PAGEREF _Toc11200 </w:instrText>
        </w:r>
        <w:r>
          <w:rPr>
            <w:noProof/>
            <w:sz w:val="24"/>
            <w:szCs w:val="32"/>
          </w:rPr>
          <w:fldChar w:fldCharType="separate"/>
        </w:r>
        <w:r w:rsidR="00BE7042">
          <w:rPr>
            <w:noProof/>
            <w:sz w:val="24"/>
            <w:szCs w:val="32"/>
          </w:rPr>
          <w:t>21</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4304" w:history="1">
        <w:r>
          <w:rPr>
            <w:rFonts w:ascii="彩虹粗仿宋" w:eastAsia="彩虹粗仿宋" w:hint="eastAsia"/>
            <w:noProof/>
            <w:sz w:val="24"/>
            <w:szCs w:val="32"/>
          </w:rPr>
          <w:t>十四、基金管理人和基金托管人的更换</w:t>
        </w:r>
        <w:r>
          <w:rPr>
            <w:noProof/>
            <w:sz w:val="24"/>
            <w:szCs w:val="32"/>
          </w:rPr>
          <w:tab/>
        </w:r>
        <w:r>
          <w:rPr>
            <w:noProof/>
            <w:sz w:val="24"/>
            <w:szCs w:val="32"/>
          </w:rPr>
          <w:fldChar w:fldCharType="begin"/>
        </w:r>
        <w:r>
          <w:rPr>
            <w:noProof/>
            <w:sz w:val="24"/>
            <w:szCs w:val="32"/>
          </w:rPr>
          <w:instrText xml:space="preserve"> PAGEREF _Toc14304 </w:instrText>
        </w:r>
        <w:r>
          <w:rPr>
            <w:noProof/>
            <w:sz w:val="24"/>
            <w:szCs w:val="32"/>
          </w:rPr>
          <w:fldChar w:fldCharType="separate"/>
        </w:r>
        <w:r w:rsidR="00BE7042">
          <w:rPr>
            <w:noProof/>
            <w:sz w:val="24"/>
            <w:szCs w:val="32"/>
          </w:rPr>
          <w:t>21</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9879" w:history="1">
        <w:r>
          <w:rPr>
            <w:rFonts w:ascii="彩虹粗仿宋" w:eastAsia="彩虹粗仿宋" w:hint="eastAsia"/>
            <w:noProof/>
            <w:sz w:val="24"/>
            <w:szCs w:val="32"/>
          </w:rPr>
          <w:t>十五、禁止行为</w:t>
        </w:r>
        <w:r>
          <w:rPr>
            <w:noProof/>
            <w:sz w:val="24"/>
            <w:szCs w:val="32"/>
          </w:rPr>
          <w:tab/>
        </w:r>
        <w:r>
          <w:rPr>
            <w:noProof/>
            <w:sz w:val="24"/>
            <w:szCs w:val="32"/>
          </w:rPr>
          <w:fldChar w:fldCharType="begin"/>
        </w:r>
        <w:r>
          <w:rPr>
            <w:noProof/>
            <w:sz w:val="24"/>
            <w:szCs w:val="32"/>
          </w:rPr>
          <w:instrText xml:space="preserve"> PAGEREF _Toc29879 </w:instrText>
        </w:r>
        <w:r>
          <w:rPr>
            <w:noProof/>
            <w:sz w:val="24"/>
            <w:szCs w:val="32"/>
          </w:rPr>
          <w:fldChar w:fldCharType="separate"/>
        </w:r>
        <w:r w:rsidR="00BE7042">
          <w:rPr>
            <w:noProof/>
            <w:sz w:val="24"/>
            <w:szCs w:val="32"/>
          </w:rPr>
          <w:t>23</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561" w:history="1">
        <w:r>
          <w:rPr>
            <w:rFonts w:ascii="彩虹粗仿宋" w:eastAsia="彩虹粗仿宋" w:hint="eastAsia"/>
            <w:noProof/>
            <w:sz w:val="24"/>
            <w:szCs w:val="32"/>
          </w:rPr>
          <w:t>十六、托管协议的变更、终止与基金财产的清算</w:t>
        </w:r>
        <w:r>
          <w:rPr>
            <w:noProof/>
            <w:sz w:val="24"/>
            <w:szCs w:val="32"/>
          </w:rPr>
          <w:tab/>
        </w:r>
        <w:r>
          <w:rPr>
            <w:noProof/>
            <w:sz w:val="24"/>
            <w:szCs w:val="32"/>
          </w:rPr>
          <w:fldChar w:fldCharType="begin"/>
        </w:r>
        <w:r>
          <w:rPr>
            <w:noProof/>
            <w:sz w:val="24"/>
            <w:szCs w:val="32"/>
          </w:rPr>
          <w:instrText xml:space="preserve"> PAGEREF _Toc2561 </w:instrText>
        </w:r>
        <w:r>
          <w:rPr>
            <w:noProof/>
            <w:sz w:val="24"/>
            <w:szCs w:val="32"/>
          </w:rPr>
          <w:fldChar w:fldCharType="separate"/>
        </w:r>
        <w:r w:rsidR="00BE7042">
          <w:rPr>
            <w:noProof/>
            <w:sz w:val="24"/>
            <w:szCs w:val="32"/>
          </w:rPr>
          <w:t>24</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2625" w:history="1">
        <w:r>
          <w:rPr>
            <w:rFonts w:ascii="彩虹粗仿宋" w:eastAsia="彩虹粗仿宋" w:hint="eastAsia"/>
            <w:noProof/>
            <w:sz w:val="24"/>
            <w:szCs w:val="32"/>
          </w:rPr>
          <w:t>十七、违约责任</w:t>
        </w:r>
        <w:r>
          <w:rPr>
            <w:noProof/>
            <w:sz w:val="24"/>
            <w:szCs w:val="32"/>
          </w:rPr>
          <w:tab/>
        </w:r>
        <w:r>
          <w:rPr>
            <w:noProof/>
            <w:sz w:val="24"/>
            <w:szCs w:val="32"/>
          </w:rPr>
          <w:fldChar w:fldCharType="begin"/>
        </w:r>
        <w:r>
          <w:rPr>
            <w:noProof/>
            <w:sz w:val="24"/>
            <w:szCs w:val="32"/>
          </w:rPr>
          <w:instrText xml:space="preserve"> PAGEREF _Toc22625 </w:instrText>
        </w:r>
        <w:r>
          <w:rPr>
            <w:noProof/>
            <w:sz w:val="24"/>
            <w:szCs w:val="32"/>
          </w:rPr>
          <w:fldChar w:fldCharType="separate"/>
        </w:r>
        <w:r w:rsidR="00BE7042">
          <w:rPr>
            <w:noProof/>
            <w:sz w:val="24"/>
            <w:szCs w:val="32"/>
          </w:rPr>
          <w:t>25</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1640" w:history="1">
        <w:r>
          <w:rPr>
            <w:rFonts w:ascii="彩虹粗仿宋" w:eastAsia="彩虹粗仿宋" w:hint="eastAsia"/>
            <w:noProof/>
            <w:sz w:val="24"/>
            <w:szCs w:val="32"/>
          </w:rPr>
          <w:t>十八、争议解决方式</w:t>
        </w:r>
        <w:r>
          <w:rPr>
            <w:noProof/>
            <w:sz w:val="24"/>
            <w:szCs w:val="32"/>
          </w:rPr>
          <w:tab/>
        </w:r>
        <w:r>
          <w:rPr>
            <w:noProof/>
            <w:sz w:val="24"/>
            <w:szCs w:val="32"/>
          </w:rPr>
          <w:fldChar w:fldCharType="begin"/>
        </w:r>
        <w:r>
          <w:rPr>
            <w:noProof/>
            <w:sz w:val="24"/>
            <w:szCs w:val="32"/>
          </w:rPr>
          <w:instrText xml:space="preserve"> PAGEREF _Toc11640 </w:instrText>
        </w:r>
        <w:r>
          <w:rPr>
            <w:noProof/>
            <w:sz w:val="24"/>
            <w:szCs w:val="32"/>
          </w:rPr>
          <w:fldChar w:fldCharType="separate"/>
        </w:r>
        <w:r w:rsidR="00BE7042">
          <w:rPr>
            <w:noProof/>
            <w:sz w:val="24"/>
            <w:szCs w:val="32"/>
          </w:rPr>
          <w:t>25</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27840" w:history="1">
        <w:r>
          <w:rPr>
            <w:rFonts w:ascii="彩虹粗仿宋" w:eastAsia="彩虹粗仿宋" w:hint="eastAsia"/>
            <w:noProof/>
            <w:sz w:val="24"/>
            <w:szCs w:val="32"/>
          </w:rPr>
          <w:t>十九、托管协议的效力</w:t>
        </w:r>
        <w:r>
          <w:rPr>
            <w:noProof/>
            <w:sz w:val="24"/>
            <w:szCs w:val="32"/>
          </w:rPr>
          <w:tab/>
        </w:r>
        <w:r>
          <w:rPr>
            <w:noProof/>
            <w:sz w:val="24"/>
            <w:szCs w:val="32"/>
          </w:rPr>
          <w:fldChar w:fldCharType="begin"/>
        </w:r>
        <w:r>
          <w:rPr>
            <w:noProof/>
            <w:sz w:val="24"/>
            <w:szCs w:val="32"/>
          </w:rPr>
          <w:instrText xml:space="preserve"> PAGEREF _Toc27840 </w:instrText>
        </w:r>
        <w:r>
          <w:rPr>
            <w:noProof/>
            <w:sz w:val="24"/>
            <w:szCs w:val="32"/>
          </w:rPr>
          <w:fldChar w:fldCharType="separate"/>
        </w:r>
        <w:r w:rsidR="00BE7042">
          <w:rPr>
            <w:noProof/>
            <w:sz w:val="24"/>
            <w:szCs w:val="32"/>
          </w:rPr>
          <w:t>26</w:t>
        </w:r>
        <w:r>
          <w:rPr>
            <w:noProof/>
            <w:sz w:val="24"/>
            <w:szCs w:val="32"/>
          </w:rPr>
          <w:fldChar w:fldCharType="end"/>
        </w:r>
      </w:hyperlink>
    </w:p>
    <w:p w:rsidR="00E377B2" w:rsidRDefault="00AC2CD0" w:rsidP="00BE7042">
      <w:pPr>
        <w:pStyle w:val="23"/>
        <w:tabs>
          <w:tab w:val="right" w:leader="dot" w:pos="8504"/>
        </w:tabs>
        <w:spacing w:line="480" w:lineRule="auto"/>
        <w:rPr>
          <w:noProof/>
          <w:sz w:val="24"/>
          <w:szCs w:val="32"/>
        </w:rPr>
      </w:pPr>
      <w:hyperlink w:anchor="_Toc13742" w:history="1">
        <w:r>
          <w:rPr>
            <w:rFonts w:ascii="彩虹粗仿宋" w:eastAsia="彩虹粗仿宋" w:hint="eastAsia"/>
            <w:noProof/>
            <w:sz w:val="24"/>
            <w:szCs w:val="32"/>
          </w:rPr>
          <w:t>二十、其他事项</w:t>
        </w:r>
        <w:r>
          <w:rPr>
            <w:noProof/>
            <w:sz w:val="24"/>
            <w:szCs w:val="32"/>
          </w:rPr>
          <w:tab/>
        </w:r>
        <w:r>
          <w:rPr>
            <w:noProof/>
            <w:sz w:val="24"/>
            <w:szCs w:val="32"/>
          </w:rPr>
          <w:fldChar w:fldCharType="begin"/>
        </w:r>
        <w:r>
          <w:rPr>
            <w:noProof/>
            <w:sz w:val="24"/>
            <w:szCs w:val="32"/>
          </w:rPr>
          <w:instrText xml:space="preserve"> PAGEREF _Toc13742 </w:instrText>
        </w:r>
        <w:r>
          <w:rPr>
            <w:noProof/>
            <w:sz w:val="24"/>
            <w:szCs w:val="32"/>
          </w:rPr>
          <w:fldChar w:fldCharType="separate"/>
        </w:r>
        <w:r w:rsidR="00BE7042">
          <w:rPr>
            <w:noProof/>
            <w:sz w:val="24"/>
            <w:szCs w:val="32"/>
          </w:rPr>
          <w:t>26</w:t>
        </w:r>
        <w:r>
          <w:rPr>
            <w:noProof/>
            <w:sz w:val="24"/>
            <w:szCs w:val="32"/>
          </w:rPr>
          <w:fldChar w:fldCharType="end"/>
        </w:r>
      </w:hyperlink>
    </w:p>
    <w:p w:rsidR="00E377B2" w:rsidRDefault="00AC2CD0" w:rsidP="00BE7042">
      <w:pPr>
        <w:pStyle w:val="23"/>
        <w:tabs>
          <w:tab w:val="right" w:leader="dot" w:pos="8504"/>
        </w:tabs>
        <w:spacing w:line="480" w:lineRule="auto"/>
        <w:rPr>
          <w:noProof/>
        </w:rPr>
      </w:pPr>
      <w:hyperlink w:anchor="_Toc16194" w:history="1">
        <w:r>
          <w:rPr>
            <w:rFonts w:ascii="彩虹粗仿宋" w:eastAsia="彩虹粗仿宋" w:hint="eastAsia"/>
            <w:noProof/>
            <w:sz w:val="24"/>
            <w:szCs w:val="32"/>
          </w:rPr>
          <w:t>二十一、托管协议的签订</w:t>
        </w:r>
        <w:r>
          <w:rPr>
            <w:noProof/>
            <w:sz w:val="24"/>
            <w:szCs w:val="32"/>
          </w:rPr>
          <w:tab/>
        </w:r>
        <w:r>
          <w:rPr>
            <w:noProof/>
            <w:sz w:val="24"/>
            <w:szCs w:val="32"/>
          </w:rPr>
          <w:fldChar w:fldCharType="begin"/>
        </w:r>
        <w:r>
          <w:rPr>
            <w:noProof/>
            <w:sz w:val="24"/>
            <w:szCs w:val="32"/>
          </w:rPr>
          <w:instrText xml:space="preserve"> PAGEREF _Toc16194 </w:instrText>
        </w:r>
        <w:r>
          <w:rPr>
            <w:noProof/>
            <w:sz w:val="24"/>
            <w:szCs w:val="32"/>
          </w:rPr>
          <w:fldChar w:fldCharType="separate"/>
        </w:r>
        <w:r w:rsidR="00BE7042">
          <w:rPr>
            <w:noProof/>
            <w:sz w:val="24"/>
            <w:szCs w:val="32"/>
          </w:rPr>
          <w:t>26</w:t>
        </w:r>
        <w:r>
          <w:rPr>
            <w:noProof/>
            <w:sz w:val="24"/>
            <w:szCs w:val="32"/>
          </w:rPr>
          <w:fldChar w:fldCharType="end"/>
        </w:r>
      </w:hyperlink>
    </w:p>
    <w:p w:rsidR="00E377B2" w:rsidRDefault="00AC2CD0">
      <w:pPr>
        <w:rPr>
          <w:rFonts w:ascii="彩虹粗仿宋" w:eastAsia="彩虹粗仿宋"/>
          <w:sz w:val="24"/>
        </w:rPr>
      </w:pPr>
      <w:r>
        <w:rPr>
          <w:rFonts w:ascii="彩虹粗仿宋" w:eastAsia="彩虹粗仿宋" w:hAnsi="宋体" w:hint="eastAsia"/>
        </w:rPr>
        <w:lastRenderedPageBreak/>
        <w:fldChar w:fldCharType="end"/>
      </w:r>
    </w:p>
    <w:p w:rsidR="00E377B2" w:rsidRDefault="00AC2CD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中国建设银行股份有限公司为中国证监会指定的本基金临时基金托管人，后续有待基金份额持有人大会审议选聘新任基金托管人，如基金份额持有人大会决议</w:t>
      </w:r>
      <w:r>
        <w:rPr>
          <w:rFonts w:ascii="彩虹粗仿宋" w:eastAsia="彩虹粗仿宋" w:hAnsi="宋体" w:cs="Arial" w:hint="eastAsia"/>
          <w:kern w:val="0"/>
          <w:sz w:val="24"/>
        </w:rPr>
        <w:t>6</w:t>
      </w:r>
      <w:r>
        <w:rPr>
          <w:rFonts w:ascii="彩虹粗仿宋" w:eastAsia="彩虹粗仿宋" w:hAnsi="宋体" w:cs="Arial" w:hint="eastAsia"/>
          <w:kern w:val="0"/>
          <w:sz w:val="24"/>
        </w:rPr>
        <w:t>个月内未选聘出新任基金托管人，临时基金托管人将配合基金清算工作。临时基金托管人以下简称基金托管人或托管人。</w:t>
      </w:r>
    </w:p>
    <w:p w:rsidR="00E377B2" w:rsidRDefault="00AC2CD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鉴于泰</w:t>
      </w:r>
      <w:r>
        <w:rPr>
          <w:rFonts w:ascii="彩虹粗仿宋" w:eastAsia="彩虹粗仿宋" w:hAnsi="宋体" w:cs="Arial" w:hint="eastAsia"/>
          <w:kern w:val="0"/>
          <w:sz w:val="24"/>
        </w:rPr>
        <w:t>达宏利基金管理有限公司系一家依照中国法律合法成立并有效存续的有限责任公司，按照相关法律法规的规定具备担任基金管理人的资格和能力，拟募集发行泰达宏利汇利债券型证券投资基金；</w:t>
      </w:r>
    </w:p>
    <w:p w:rsidR="00E377B2" w:rsidRDefault="00AC2CD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377B2" w:rsidRDefault="00AC2CD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鉴于泰达宏利基金管理有限公司拟担任泰达宏利汇利债券型证券投资基金的基金管理人，中国建设银行股份有限公司拟担任泰达宏利汇利债券型证券投资基金的基金托管人；</w:t>
      </w:r>
    </w:p>
    <w:p w:rsidR="00E377B2" w:rsidRDefault="00AC2CD0">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为明确泰达宏利汇利债券型证券投资基金的基金管理人和临时基金托管人之间的权利义务关系，特制订本托管协议；</w:t>
      </w:r>
    </w:p>
    <w:p w:rsidR="00E377B2" w:rsidRDefault="00AC2CD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除非另有约定，《泰达宏利汇利债券型证券投资基金基金合同》</w:t>
      </w:r>
      <w:r>
        <w:rPr>
          <w:rFonts w:ascii="彩虹粗仿宋" w:eastAsia="彩虹粗仿宋" w:hAnsi="宋体" w:cs="Arial" w:hint="eastAsia"/>
          <w:kern w:val="0"/>
          <w:sz w:val="24"/>
          <w:lang w:val="en-GB"/>
        </w:rPr>
        <w:t>(</w:t>
      </w:r>
      <w:r>
        <w:rPr>
          <w:rFonts w:ascii="彩虹粗仿宋" w:eastAsia="彩虹粗仿宋" w:hAnsi="宋体" w:cs="Arial" w:hint="eastAsia"/>
          <w:kern w:val="0"/>
          <w:sz w:val="24"/>
          <w:lang w:val="en-GB"/>
        </w:rPr>
        <w:t>以下简称“基金合同”</w:t>
      </w:r>
      <w:r>
        <w:rPr>
          <w:rFonts w:ascii="彩虹粗仿宋" w:eastAsia="彩虹粗仿宋" w:hAnsi="宋体" w:cs="Arial" w:hint="eastAsia"/>
          <w:kern w:val="0"/>
          <w:sz w:val="24"/>
          <w:lang w:val="en-GB"/>
        </w:rPr>
        <w:t>)</w:t>
      </w:r>
      <w:r>
        <w:rPr>
          <w:rFonts w:ascii="彩虹粗仿宋" w:eastAsia="彩虹粗仿宋" w:hAnsi="宋体" w:cs="Arial" w:hint="eastAsia"/>
          <w:kern w:val="0"/>
          <w:sz w:val="24"/>
          <w:lang w:val="en-GB"/>
        </w:rPr>
        <w:t>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E377B2" w:rsidRDefault="00AC2CD0">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若本基金实施侧袋机制的，侧袋机制实施期间的相关安排见基金合同和招募说明书的规定</w:t>
      </w:r>
      <w:r>
        <w:rPr>
          <w:rFonts w:ascii="彩虹粗仿宋" w:eastAsia="彩虹粗仿宋" w:hAnsi="宋体" w:cs="Arial" w:hint="eastAsia"/>
          <w:kern w:val="0"/>
          <w:sz w:val="24"/>
          <w:lang w:val="en-GB"/>
        </w:rPr>
        <w:t xml:space="preserve"> </w:t>
      </w:r>
      <w:r>
        <w:rPr>
          <w:rFonts w:ascii="彩虹粗仿宋" w:eastAsia="彩虹粗仿宋" w:hAnsi="宋体" w:cs="Arial" w:hint="eastAsia"/>
          <w:kern w:val="0"/>
          <w:sz w:val="24"/>
          <w:lang w:val="en-GB"/>
        </w:rPr>
        <w:t>。</w:t>
      </w:r>
    </w:p>
    <w:p w:rsidR="00E377B2" w:rsidRDefault="00E377B2">
      <w:pPr>
        <w:rPr>
          <w:rFonts w:ascii="彩虹粗仿宋" w:eastAsia="彩虹粗仿宋"/>
          <w:sz w:val="24"/>
          <w:lang w:val="en-GB"/>
        </w:rPr>
      </w:pPr>
    </w:p>
    <w:p w:rsidR="00E377B2" w:rsidRDefault="00AC2CD0">
      <w:pPr>
        <w:pStyle w:val="2"/>
        <w:jc w:val="center"/>
        <w:rPr>
          <w:rFonts w:ascii="彩虹粗仿宋" w:eastAsia="彩虹粗仿宋"/>
        </w:rPr>
      </w:pPr>
      <w:bookmarkStart w:id="1" w:name="_Toc31009"/>
      <w:r>
        <w:rPr>
          <w:rFonts w:ascii="彩虹粗仿宋" w:eastAsia="彩虹粗仿宋" w:hint="eastAsia"/>
        </w:rPr>
        <w:t>一、基金托管协议当事人</w:t>
      </w:r>
      <w:bookmarkEnd w:id="1"/>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名称：泰达宏利基金管理有限公司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注册地址：北京市朝阳区针织路</w:t>
      </w:r>
      <w:r>
        <w:rPr>
          <w:rFonts w:ascii="彩虹粗仿宋" w:eastAsia="彩虹粗仿宋" w:hAnsi="宋体" w:cs="Arial" w:hint="eastAsia"/>
          <w:sz w:val="24"/>
        </w:rPr>
        <w:t>23</w:t>
      </w:r>
      <w:r>
        <w:rPr>
          <w:rFonts w:ascii="彩虹粗仿宋" w:eastAsia="彩虹粗仿宋" w:hAnsi="宋体" w:cs="Arial" w:hint="eastAsia"/>
          <w:sz w:val="24"/>
        </w:rPr>
        <w:t>号楼中国人寿金融中心</w:t>
      </w:r>
      <w:r>
        <w:rPr>
          <w:rFonts w:ascii="彩虹粗仿宋" w:eastAsia="彩虹粗仿宋" w:hAnsi="宋体" w:cs="Arial" w:hint="eastAsia"/>
          <w:sz w:val="24"/>
        </w:rPr>
        <w:t>6</w:t>
      </w:r>
      <w:r>
        <w:rPr>
          <w:rFonts w:ascii="彩虹粗仿宋" w:eastAsia="彩虹粗仿宋" w:hAnsi="宋体" w:cs="Arial" w:hint="eastAsia"/>
          <w:sz w:val="24"/>
        </w:rPr>
        <w:t>层</w:t>
      </w:r>
      <w:r>
        <w:rPr>
          <w:rFonts w:ascii="彩虹粗仿宋" w:eastAsia="彩虹粗仿宋" w:hAnsi="宋体" w:cs="Arial" w:hint="eastAsia"/>
          <w:sz w:val="24"/>
        </w:rPr>
        <w:t>02-07</w:t>
      </w:r>
      <w:r>
        <w:rPr>
          <w:rFonts w:ascii="彩虹粗仿宋" w:eastAsia="彩虹粗仿宋" w:hAnsi="宋体" w:cs="Arial" w:hint="eastAsia"/>
          <w:sz w:val="24"/>
        </w:rPr>
        <w:t>单元</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办公地址：北京市朝阳区针织路</w:t>
      </w:r>
      <w:r>
        <w:rPr>
          <w:rFonts w:ascii="彩虹粗仿宋" w:eastAsia="彩虹粗仿宋" w:hAnsi="宋体" w:cs="Arial" w:hint="eastAsia"/>
          <w:sz w:val="24"/>
        </w:rPr>
        <w:t>23</w:t>
      </w:r>
      <w:r>
        <w:rPr>
          <w:rFonts w:ascii="彩虹粗仿宋" w:eastAsia="彩虹粗仿宋" w:hAnsi="宋体" w:cs="Arial" w:hint="eastAsia"/>
          <w:sz w:val="24"/>
        </w:rPr>
        <w:t>号楼中国人寿金融中心</w:t>
      </w:r>
      <w:r>
        <w:rPr>
          <w:rFonts w:ascii="彩虹粗仿宋" w:eastAsia="彩虹粗仿宋" w:hAnsi="宋体" w:cs="Arial" w:hint="eastAsia"/>
          <w:sz w:val="24"/>
        </w:rPr>
        <w:t>6</w:t>
      </w:r>
      <w:r>
        <w:rPr>
          <w:rFonts w:ascii="彩虹粗仿宋" w:eastAsia="彩虹粗仿宋" w:hAnsi="宋体" w:cs="Arial" w:hint="eastAsia"/>
          <w:sz w:val="24"/>
        </w:rPr>
        <w:t>层</w:t>
      </w:r>
      <w:r>
        <w:rPr>
          <w:rFonts w:ascii="彩虹粗仿宋" w:eastAsia="彩虹粗仿宋" w:hAnsi="宋体" w:cs="Arial" w:hint="eastAsia"/>
          <w:sz w:val="24"/>
        </w:rPr>
        <w:t>02-07</w:t>
      </w:r>
      <w:r>
        <w:rPr>
          <w:rFonts w:ascii="彩虹粗仿宋" w:eastAsia="彩虹粗仿宋" w:hAnsi="宋体" w:cs="Arial" w:hint="eastAsia"/>
          <w:sz w:val="24"/>
        </w:rPr>
        <w:t>单元</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hint="eastAsia"/>
          <w:sz w:val="24"/>
        </w:rPr>
        <w:t>100026</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法定代表人：刘轶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hint="eastAsia"/>
          <w:sz w:val="24"/>
        </w:rPr>
        <w:t>2002</w:t>
      </w:r>
      <w:r>
        <w:rPr>
          <w:rStyle w:val="read"/>
          <w:rFonts w:ascii="彩虹粗仿宋" w:eastAsia="彩虹粗仿宋" w:hAnsi="宋体" w:cs="Arial" w:hint="eastAsia"/>
          <w:sz w:val="24"/>
        </w:rPr>
        <w:t>年</w:t>
      </w:r>
      <w:r>
        <w:rPr>
          <w:rStyle w:val="read"/>
          <w:rFonts w:ascii="彩虹粗仿宋" w:eastAsia="彩虹粗仿宋" w:hAnsi="宋体" w:cs="Arial" w:hint="eastAsia"/>
          <w:sz w:val="24"/>
        </w:rPr>
        <w:t>6</w:t>
      </w:r>
      <w:r>
        <w:rPr>
          <w:rStyle w:val="read"/>
          <w:rFonts w:ascii="彩虹粗仿宋" w:eastAsia="彩虹粗仿宋" w:hAnsi="宋体" w:cs="Arial" w:hint="eastAsia"/>
          <w:sz w:val="24"/>
        </w:rPr>
        <w:t>月</w:t>
      </w:r>
      <w:r>
        <w:rPr>
          <w:rStyle w:val="read"/>
          <w:rFonts w:ascii="彩虹粗仿宋" w:eastAsia="彩虹粗仿宋" w:hAnsi="宋体" w:cs="Arial" w:hint="eastAsia"/>
          <w:sz w:val="24"/>
        </w:rPr>
        <w:t>6</w:t>
      </w:r>
      <w:r>
        <w:rPr>
          <w:rStyle w:val="read"/>
          <w:rFonts w:ascii="彩虹粗仿宋" w:eastAsia="彩虹粗仿宋" w:hAnsi="宋体" w:cs="Arial" w:hint="eastAsia"/>
          <w:sz w:val="24"/>
        </w:rPr>
        <w:t>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rPr>
          <w:rStyle w:val="read"/>
          <w:rFonts w:ascii="彩虹粗仿宋" w:eastAsia="彩虹粗仿宋" w:hAnsi="宋体" w:cs="Arial" w:hint="eastAsia"/>
          <w:sz w:val="24"/>
        </w:rPr>
        <w:t>[</w:t>
      </w:r>
      <w:r>
        <w:rPr>
          <w:rStyle w:val="read"/>
          <w:rFonts w:ascii="彩虹粗仿宋" w:eastAsia="彩虹粗仿宋" w:hAnsi="宋体" w:cs="Arial"/>
          <w:sz w:val="24"/>
        </w:rPr>
        <w:t>2002</w:t>
      </w:r>
      <w:r>
        <w:rPr>
          <w:rStyle w:val="read"/>
          <w:rFonts w:ascii="彩虹粗仿宋" w:eastAsia="彩虹粗仿宋" w:hAnsi="宋体" w:cs="Arial" w:hint="eastAsia"/>
          <w:sz w:val="24"/>
        </w:rPr>
        <w:t>]</w:t>
      </w:r>
      <w:r>
        <w:rPr>
          <w:rStyle w:val="read"/>
          <w:rFonts w:ascii="彩虹粗仿宋" w:eastAsia="彩虹粗仿宋" w:hAnsi="宋体" w:cs="Arial"/>
          <w:sz w:val="24"/>
        </w:rPr>
        <w:t>37</w:t>
      </w:r>
      <w:r>
        <w:rPr>
          <w:rFonts w:ascii="彩虹粗仿宋" w:eastAsia="彩虹粗仿宋" w:hAnsi="宋体" w:cs="Arial" w:hint="eastAsia"/>
          <w:sz w:val="24"/>
        </w:rPr>
        <w:t>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Ansi="宋体" w:cs="Arial" w:hint="eastAsia"/>
          <w:sz w:val="24"/>
        </w:rPr>
        <w:t>1.8</w:t>
      </w:r>
      <w:r>
        <w:rPr>
          <w:rFonts w:ascii="彩虹粗仿宋" w:eastAsia="彩虹粗仿宋" w:hAnsi="宋体" w:cs="Arial" w:hint="eastAsia"/>
          <w:sz w:val="24"/>
        </w:rPr>
        <w:t>亿</w:t>
      </w:r>
      <w:r>
        <w:rPr>
          <w:rStyle w:val="read"/>
          <w:rFonts w:ascii="彩虹粗仿宋" w:eastAsia="彩虹粗仿宋" w:hAnsi="宋体" w:cs="Arial" w:hint="eastAsia"/>
          <w:sz w:val="24"/>
        </w:rPr>
        <w:t>元人民币</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（二）临时基金托管人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r>
        <w:rPr>
          <w:rFonts w:ascii="彩虹粗仿宋" w:eastAsia="彩虹粗仿宋" w:hAnsi="宋体" w:cs="Arial" w:hint="eastAsia"/>
          <w:sz w:val="24"/>
        </w:rPr>
        <w:t>(</w:t>
      </w:r>
      <w:r>
        <w:rPr>
          <w:rFonts w:ascii="彩虹粗仿宋" w:eastAsia="彩虹粗仿宋" w:hAnsi="宋体" w:cs="Arial" w:hint="eastAsia"/>
          <w:sz w:val="24"/>
        </w:rPr>
        <w:t>简称：中国建设银行</w:t>
      </w:r>
      <w:r>
        <w:rPr>
          <w:rFonts w:ascii="彩虹粗仿宋" w:eastAsia="彩虹粗仿宋" w:hAnsi="宋体" w:cs="Arial" w:hint="eastAsia"/>
          <w:sz w:val="24"/>
        </w:rPr>
        <w:t>)</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w:t>
      </w:r>
      <w:r>
        <w:rPr>
          <w:rFonts w:ascii="彩虹粗仿宋" w:eastAsia="彩虹粗仿宋" w:hAnsi="宋体" w:cs="Arial" w:hint="eastAsia"/>
          <w:sz w:val="24"/>
        </w:rPr>
        <w:t>25</w:t>
      </w:r>
      <w:r>
        <w:rPr>
          <w:rFonts w:ascii="彩虹粗仿宋" w:eastAsia="彩虹粗仿宋" w:hAnsi="宋体" w:cs="Arial" w:hint="eastAsia"/>
          <w:sz w:val="24"/>
        </w:rPr>
        <w:t>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w:t>
      </w:r>
      <w:r>
        <w:rPr>
          <w:rFonts w:ascii="彩虹粗仿宋" w:eastAsia="彩虹粗仿宋" w:hAnsi="宋体" w:cs="Arial" w:hint="eastAsia"/>
          <w:sz w:val="24"/>
        </w:rPr>
        <w:t>1</w:t>
      </w:r>
      <w:r>
        <w:rPr>
          <w:rFonts w:ascii="彩虹粗仿宋" w:eastAsia="彩虹粗仿宋" w:hAnsi="宋体" w:cs="Arial" w:hint="eastAsia"/>
          <w:sz w:val="24"/>
        </w:rPr>
        <w:t>号院</w:t>
      </w:r>
      <w:r>
        <w:rPr>
          <w:rFonts w:ascii="彩虹粗仿宋" w:eastAsia="彩虹粗仿宋" w:hAnsi="宋体" w:cs="Arial" w:hint="eastAsia"/>
          <w:sz w:val="24"/>
        </w:rPr>
        <w:t>1</w:t>
      </w:r>
      <w:r>
        <w:rPr>
          <w:rFonts w:ascii="彩虹粗仿宋" w:eastAsia="彩虹粗仿宋" w:hAnsi="宋体" w:cs="Arial" w:hint="eastAsia"/>
          <w:sz w:val="24"/>
        </w:rPr>
        <w:t>号楼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hint="eastAsia"/>
          <w:sz w:val="24"/>
        </w:rPr>
        <w:t>100033</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hint="eastAsia"/>
          <w:sz w:val="24"/>
        </w:rPr>
        <w:t>2004</w:t>
      </w:r>
      <w:r>
        <w:rPr>
          <w:rFonts w:ascii="彩虹粗仿宋" w:eastAsia="彩虹粗仿宋" w:hAnsi="宋体" w:cs="Arial" w:hint="eastAsia"/>
          <w:sz w:val="24"/>
        </w:rPr>
        <w:t>年</w:t>
      </w:r>
      <w:r>
        <w:rPr>
          <w:rFonts w:ascii="彩虹粗仿宋" w:eastAsia="彩虹粗仿宋" w:hAnsi="宋体" w:cs="Arial" w:hint="eastAsia"/>
          <w:sz w:val="24"/>
        </w:rPr>
        <w:t>09</w:t>
      </w:r>
      <w:r>
        <w:rPr>
          <w:rFonts w:ascii="彩虹粗仿宋" w:eastAsia="彩虹粗仿宋" w:hAnsi="宋体" w:cs="Arial" w:hint="eastAsia"/>
          <w:sz w:val="24"/>
        </w:rPr>
        <w:t>月</w:t>
      </w:r>
      <w:r>
        <w:rPr>
          <w:rFonts w:ascii="彩虹粗仿宋" w:eastAsia="彩虹粗仿宋" w:hAnsi="宋体" w:cs="Arial" w:hint="eastAsia"/>
          <w:sz w:val="24"/>
        </w:rPr>
        <w:t>17</w:t>
      </w:r>
      <w:r>
        <w:rPr>
          <w:rFonts w:ascii="彩虹粗仿宋" w:eastAsia="彩虹粗仿宋" w:hAnsi="宋体" w:cs="Arial" w:hint="eastAsia"/>
          <w:sz w:val="24"/>
        </w:rPr>
        <w:t>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w:t>
      </w:r>
      <w:r>
        <w:rPr>
          <w:rFonts w:ascii="彩虹粗仿宋" w:eastAsia="彩虹粗仿宋" w:hAnsi="宋体" w:cs="Arial" w:hint="eastAsia"/>
          <w:sz w:val="24"/>
        </w:rPr>
        <w:t>[1998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w:t>
      </w:r>
      <w:r>
        <w:rPr>
          <w:rFonts w:ascii="彩虹粗仿宋" w:eastAsia="彩虹粗仿宋" w:hAnsi="宋体" w:cs="Arial" w:hint="eastAsia"/>
          <w:sz w:val="24"/>
        </w:rPr>
        <w:t>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组织形式：股份有限公司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E377B2" w:rsidRDefault="00AC2CD0">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w:t>
      </w:r>
      <w:r>
        <w:rPr>
          <w:rFonts w:ascii="彩虹粗仿宋" w:eastAsia="彩虹粗仿宋" w:hAnsi="宋体" w:cs="Arial" w:hint="eastAsia"/>
          <w:sz w:val="24"/>
        </w:rPr>
        <w:t>中国银行业监督管理机构等监管部门批准的其他业务。</w:t>
      </w:r>
    </w:p>
    <w:p w:rsidR="00E377B2" w:rsidRDefault="00E377B2">
      <w:pPr>
        <w:rPr>
          <w:rFonts w:ascii="彩虹粗仿宋" w:eastAsia="彩虹粗仿宋"/>
          <w:sz w:val="24"/>
        </w:rPr>
      </w:pPr>
    </w:p>
    <w:p w:rsidR="00E377B2" w:rsidRDefault="00AC2CD0">
      <w:pPr>
        <w:pStyle w:val="2"/>
        <w:jc w:val="center"/>
        <w:rPr>
          <w:rFonts w:ascii="彩虹粗仿宋" w:eastAsia="彩虹粗仿宋"/>
          <w:sz w:val="30"/>
        </w:rPr>
      </w:pPr>
      <w:bookmarkStart w:id="3" w:name="_Toc2453"/>
      <w:r>
        <w:rPr>
          <w:rFonts w:ascii="彩虹粗仿宋" w:eastAsia="彩虹粗仿宋" w:hint="eastAsia"/>
          <w:sz w:val="30"/>
        </w:rPr>
        <w:t>二、基金托管协议的依据、目的和原则</w:t>
      </w:r>
      <w:bookmarkEnd w:id="3"/>
    </w:p>
    <w:p w:rsidR="00E377B2" w:rsidRDefault="00AC2CD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w:t>
      </w:r>
      <w:r>
        <w:rPr>
          <w:rFonts w:ascii="彩虹粗仿宋" w:eastAsia="彩虹粗仿宋" w:hAnsi="宋体" w:cs="Arial" w:hint="eastAsia"/>
          <w:sz w:val="24"/>
        </w:rPr>
        <w:t>(</w:t>
      </w:r>
      <w:r>
        <w:rPr>
          <w:rFonts w:ascii="彩虹粗仿宋" w:eastAsia="彩虹粗仿宋" w:hAnsi="宋体" w:cs="Arial" w:hint="eastAsia"/>
          <w:sz w:val="24"/>
        </w:rPr>
        <w:t>以下简称“《基金法》”</w:t>
      </w:r>
      <w:r>
        <w:rPr>
          <w:rFonts w:ascii="彩虹粗仿宋" w:eastAsia="彩虹粗仿宋" w:hAnsi="宋体" w:cs="Arial" w:hint="eastAsia"/>
          <w:sz w:val="24"/>
        </w:rPr>
        <w:t>)</w:t>
      </w:r>
      <w:r>
        <w:rPr>
          <w:rFonts w:ascii="彩虹粗仿宋" w:eastAsia="彩虹粗仿宋" w:hAnsi="宋体" w:cs="Arial" w:hint="eastAsia"/>
          <w:sz w:val="24"/>
        </w:rPr>
        <w:t>等有关法律法规、《基金合同》及其他有关规定制订。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E377B2" w:rsidRDefault="00AC2CD0">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377B2" w:rsidRDefault="00E377B2">
      <w:pPr>
        <w:rPr>
          <w:rFonts w:ascii="彩虹粗仿宋" w:eastAsia="彩虹粗仿宋"/>
          <w:sz w:val="24"/>
        </w:rPr>
      </w:pPr>
    </w:p>
    <w:p w:rsidR="00E377B2" w:rsidRDefault="00AC2CD0">
      <w:pPr>
        <w:pStyle w:val="2"/>
        <w:jc w:val="center"/>
        <w:rPr>
          <w:rFonts w:ascii="彩虹粗仿宋" w:eastAsia="彩虹粗仿宋"/>
          <w:sz w:val="30"/>
          <w:szCs w:val="24"/>
        </w:rPr>
      </w:pPr>
      <w:bookmarkStart w:id="4" w:name="_Toc2125"/>
      <w:r>
        <w:rPr>
          <w:rFonts w:ascii="彩虹粗仿宋" w:eastAsia="彩虹粗仿宋" w:hint="eastAsia"/>
          <w:sz w:val="30"/>
        </w:rPr>
        <w:t>三、基金托管人对基金管理人的业务监督和核查</w:t>
      </w:r>
      <w:bookmarkEnd w:id="4"/>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本基金的投资对</w:t>
      </w:r>
      <w:r>
        <w:rPr>
          <w:rFonts w:ascii="彩虹粗仿宋" w:eastAsia="彩虹粗仿宋" w:hAnsi="宋体" w:cs="Arial" w:hint="eastAsia"/>
          <w:sz w:val="24"/>
        </w:rPr>
        <w:t>象是具有良好流动性的固定收益类金融工具。本基金所指固定收益类金融工具包括企业债券、公司债券、短期融资券、地方政府债券、商业银行金融债券、商业银行次级债、资产支持证券、逆回购、国债、中央银行票据、政策性金融债券、中期票据、银行存款以及法律法规或中国证监会允许基金投资的固定收益类金融工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如果法律法规或监管机构以后允许基金投资其他品种，基金管理人在履行适当程序后可以将其纳入投资范围。</w:t>
      </w:r>
    </w:p>
    <w:p w:rsidR="00E377B2" w:rsidRDefault="00E377B2">
      <w:pPr>
        <w:adjustRightInd w:val="0"/>
        <w:snapToGrid w:val="0"/>
        <w:ind w:firstLineChars="200" w:firstLine="480"/>
        <w:rPr>
          <w:rFonts w:ascii="彩虹粗仿宋" w:eastAsia="彩虹粗仿宋"/>
          <w:sz w:val="24"/>
          <w:szCs w:val="30"/>
        </w:rPr>
      </w:pP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w:t>
      </w:r>
      <w:r>
        <w:rPr>
          <w:rFonts w:ascii="彩虹粗仿宋" w:eastAsia="彩虹粗仿宋" w:hint="eastAsia"/>
          <w:sz w:val="24"/>
        </w:rPr>
        <w:t>监督：</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w:t>
      </w:r>
      <w:r>
        <w:rPr>
          <w:rFonts w:ascii="彩虹粗仿宋" w:eastAsia="彩虹粗仿宋" w:hint="eastAsia"/>
          <w:sz w:val="24"/>
        </w:rPr>
        <w:t>本基金对债券资产的投资比例不低于基金资产的</w:t>
      </w:r>
      <w:r>
        <w:rPr>
          <w:rFonts w:ascii="彩虹粗仿宋" w:eastAsia="彩虹粗仿宋" w:hint="eastAsia"/>
          <w:sz w:val="24"/>
        </w:rPr>
        <w:t>80%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w:t>
      </w:r>
      <w:r>
        <w:rPr>
          <w:rFonts w:ascii="彩虹粗仿宋" w:eastAsia="彩虹粗仿宋"/>
          <w:sz w:val="24"/>
        </w:rPr>
        <w:t>.</w:t>
      </w:r>
      <w:r>
        <w:rPr>
          <w:rFonts w:ascii="彩虹粗仿宋" w:eastAsia="彩虹粗仿宋" w:hint="eastAsia"/>
          <w:sz w:val="24"/>
        </w:rPr>
        <w:t>现金或者到期日在一年以内的政府债券的投资比例不低于基金资产净值的</w:t>
      </w:r>
      <w:r>
        <w:rPr>
          <w:rFonts w:ascii="彩虹粗仿宋" w:eastAsia="彩虹粗仿宋" w:hint="eastAsia"/>
          <w:sz w:val="24"/>
        </w:rPr>
        <w:t>5%</w:t>
      </w:r>
      <w:r>
        <w:rPr>
          <w:rFonts w:ascii="彩虹粗仿宋" w:eastAsia="彩虹粗仿宋" w:hint="eastAsia"/>
          <w:sz w:val="24"/>
        </w:rPr>
        <w:t>，其中现金不包括结算备付金、存出保证金、应收申购款等；</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hint="eastAsia"/>
          <w:sz w:val="24"/>
        </w:rPr>
        <w:t>本基金持有一家公司发行的证券，其市值不超过基金资产净值的</w:t>
      </w:r>
      <w:r>
        <w:rPr>
          <w:rFonts w:ascii="彩虹粗仿宋" w:eastAsia="彩虹粗仿宋" w:hint="eastAsia"/>
          <w:sz w:val="24"/>
        </w:rPr>
        <w:t>10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Pr>
          <w:rFonts w:ascii="彩虹粗仿宋" w:eastAsia="彩虹粗仿宋" w:hint="eastAsia"/>
          <w:sz w:val="24"/>
        </w:rPr>
        <w:t>本基金管理人管理并由本托管人托管的全部基金持有一家公司发行的证券，不超过该证券的</w:t>
      </w:r>
      <w:r>
        <w:rPr>
          <w:rFonts w:ascii="彩虹粗仿宋" w:eastAsia="彩虹粗仿宋" w:hint="eastAsia"/>
          <w:sz w:val="24"/>
        </w:rPr>
        <w:t>10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hint="eastAsia"/>
          <w:sz w:val="24"/>
        </w:rPr>
        <w:t>本基金进入全国银行间同业市场进行债券回购的资金余额不得超过基金资产净值的</w:t>
      </w:r>
      <w:r>
        <w:rPr>
          <w:rFonts w:ascii="彩虹粗仿宋" w:eastAsia="彩虹粗仿宋" w:hint="eastAsia"/>
          <w:sz w:val="24"/>
        </w:rPr>
        <w:t>40</w:t>
      </w:r>
      <w:r>
        <w:rPr>
          <w:rFonts w:ascii="彩虹粗仿宋" w:eastAsia="彩虹粗仿宋" w:hint="eastAsia"/>
          <w:sz w:val="24"/>
        </w:rPr>
        <w:t>％；进入全国银行间同业市场进行债券回购的最长期限为</w:t>
      </w:r>
      <w:r>
        <w:rPr>
          <w:rFonts w:ascii="彩虹粗仿宋" w:eastAsia="彩虹粗仿宋" w:hint="eastAsia"/>
          <w:sz w:val="24"/>
        </w:rPr>
        <w:t>1</w:t>
      </w:r>
      <w:r>
        <w:rPr>
          <w:rFonts w:ascii="彩虹粗仿宋" w:eastAsia="彩虹粗仿宋" w:hint="eastAsia"/>
          <w:sz w:val="24"/>
        </w:rPr>
        <w:t>年，债券回购到期后不得展期；</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6.</w:t>
      </w:r>
      <w:r>
        <w:rPr>
          <w:rFonts w:ascii="彩虹粗仿宋" w:eastAsia="彩虹粗仿宋" w:hint="eastAsia"/>
          <w:sz w:val="24"/>
        </w:rPr>
        <w:t>本基金投资于同一原始权益人的各类资产支持证券的比例，不得超过基金资产净值的</w:t>
      </w:r>
      <w:r>
        <w:rPr>
          <w:rFonts w:ascii="彩虹粗仿宋" w:eastAsia="彩虹粗仿宋" w:hint="eastAsia"/>
          <w:sz w:val="24"/>
        </w:rPr>
        <w:t>10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7.</w:t>
      </w:r>
      <w:r>
        <w:rPr>
          <w:rFonts w:ascii="彩虹粗仿宋" w:eastAsia="彩虹粗仿宋" w:hint="eastAsia"/>
          <w:sz w:val="24"/>
        </w:rPr>
        <w:t>本基金持有的全部资产支持证券，其市值不得超过基金资产净值的</w:t>
      </w:r>
      <w:r>
        <w:rPr>
          <w:rFonts w:ascii="彩虹粗仿宋" w:eastAsia="彩虹粗仿宋" w:hint="eastAsia"/>
          <w:sz w:val="24"/>
        </w:rPr>
        <w:t>20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8.</w:t>
      </w:r>
      <w:r>
        <w:rPr>
          <w:rFonts w:ascii="彩虹粗仿宋" w:eastAsia="彩虹粗仿宋" w:hint="eastAsia"/>
          <w:sz w:val="24"/>
        </w:rPr>
        <w:t>本基金持有的同一</w:t>
      </w:r>
      <w:r>
        <w:rPr>
          <w:rFonts w:ascii="彩虹粗仿宋" w:eastAsia="彩虹粗仿宋" w:hint="eastAsia"/>
          <w:sz w:val="24"/>
        </w:rPr>
        <w:t>(</w:t>
      </w:r>
      <w:r>
        <w:rPr>
          <w:rFonts w:ascii="彩虹粗仿宋" w:eastAsia="彩虹粗仿宋" w:hint="eastAsia"/>
          <w:sz w:val="24"/>
        </w:rPr>
        <w:t>指同一信用级别</w:t>
      </w:r>
      <w:r>
        <w:rPr>
          <w:rFonts w:ascii="彩虹粗仿宋" w:eastAsia="彩虹粗仿宋" w:hint="eastAsia"/>
          <w:sz w:val="24"/>
        </w:rPr>
        <w:t>)</w:t>
      </w:r>
      <w:r>
        <w:rPr>
          <w:rFonts w:ascii="彩虹粗仿宋" w:eastAsia="彩虹粗仿宋" w:hint="eastAsia"/>
          <w:sz w:val="24"/>
        </w:rPr>
        <w:t>资产支持证券的比例，不得超过该资产支持证券规模的</w:t>
      </w:r>
      <w:r>
        <w:rPr>
          <w:rFonts w:ascii="彩虹粗仿宋" w:eastAsia="彩虹粗仿宋" w:hint="eastAsia"/>
          <w:sz w:val="24"/>
        </w:rPr>
        <w:t>10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9.</w:t>
      </w:r>
      <w:r>
        <w:rPr>
          <w:rFonts w:ascii="彩虹粗仿宋" w:eastAsia="彩虹粗仿宋" w:hint="eastAsia"/>
          <w:sz w:val="24"/>
        </w:rPr>
        <w:t>本基金管理人管理并由本托管人托管的全部基金投资于同一原始权益人的各类资产支持证券，不得超过</w:t>
      </w:r>
      <w:r>
        <w:rPr>
          <w:rFonts w:ascii="彩虹粗仿宋" w:eastAsia="彩虹粗仿宋" w:hint="eastAsia"/>
          <w:sz w:val="24"/>
        </w:rPr>
        <w:t>其各类资产支持证券合计规模的</w:t>
      </w:r>
      <w:r>
        <w:rPr>
          <w:rFonts w:ascii="彩虹粗仿宋" w:eastAsia="彩虹粗仿宋" w:hint="eastAsia"/>
          <w:sz w:val="24"/>
        </w:rPr>
        <w:t>10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10.</w:t>
      </w:r>
      <w:r>
        <w:rPr>
          <w:rFonts w:ascii="彩虹粗仿宋" w:eastAsia="彩虹粗仿宋" w:hint="eastAsia"/>
          <w:sz w:val="24"/>
        </w:rPr>
        <w:t>本基金应投资于信用级别评级为</w:t>
      </w:r>
      <w:r>
        <w:rPr>
          <w:rFonts w:ascii="彩虹粗仿宋" w:eastAsia="彩虹粗仿宋" w:hint="eastAsia"/>
          <w:sz w:val="24"/>
        </w:rPr>
        <w:t>BBB</w:t>
      </w:r>
      <w:r>
        <w:rPr>
          <w:rFonts w:ascii="彩虹粗仿宋" w:eastAsia="彩虹粗仿宋" w:hint="eastAsia"/>
          <w:sz w:val="24"/>
        </w:rPr>
        <w:t>以上</w:t>
      </w:r>
      <w:r>
        <w:rPr>
          <w:rFonts w:ascii="彩虹粗仿宋" w:eastAsia="彩虹粗仿宋" w:hint="eastAsia"/>
          <w:sz w:val="24"/>
        </w:rPr>
        <w:t>(</w:t>
      </w:r>
      <w:r>
        <w:rPr>
          <w:rFonts w:ascii="彩虹粗仿宋" w:eastAsia="彩虹粗仿宋" w:hint="eastAsia"/>
          <w:sz w:val="24"/>
        </w:rPr>
        <w:t>含</w:t>
      </w:r>
      <w:r>
        <w:rPr>
          <w:rFonts w:ascii="彩虹粗仿宋" w:eastAsia="彩虹粗仿宋" w:hint="eastAsia"/>
          <w:sz w:val="24"/>
        </w:rPr>
        <w:t>BBB)</w:t>
      </w:r>
      <w:r>
        <w:rPr>
          <w:rFonts w:ascii="彩虹粗仿宋" w:eastAsia="彩虹粗仿宋" w:hint="eastAsia"/>
          <w:sz w:val="24"/>
        </w:rPr>
        <w:t>的资产支持证券。基金持有资产支持证券期间，如果其信用等级下降、不再符合投资标准，应在评级报告发布之日起</w:t>
      </w:r>
      <w:r>
        <w:rPr>
          <w:rFonts w:ascii="彩虹粗仿宋" w:eastAsia="彩虹粗仿宋" w:hint="eastAsia"/>
          <w:sz w:val="24"/>
        </w:rPr>
        <w:t>3</w:t>
      </w:r>
      <w:r>
        <w:rPr>
          <w:rFonts w:ascii="彩虹粗仿宋" w:eastAsia="彩虹粗仿宋" w:hint="eastAsia"/>
          <w:sz w:val="24"/>
        </w:rPr>
        <w:t>个月内予以全部卖出；</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11.</w:t>
      </w:r>
      <w:r>
        <w:rPr>
          <w:rFonts w:ascii="彩虹粗仿宋" w:eastAsia="彩虹粗仿宋" w:hint="eastAsia"/>
          <w:sz w:val="24"/>
        </w:rPr>
        <w:t>本基金总资产不得超过基金净资产的</w:t>
      </w:r>
      <w:r>
        <w:rPr>
          <w:rFonts w:ascii="彩虹粗仿宋" w:eastAsia="彩虹粗仿宋" w:hint="eastAsia"/>
          <w:sz w:val="24"/>
        </w:rPr>
        <w:t>140%</w:t>
      </w:r>
      <w:r>
        <w:rPr>
          <w:rFonts w:ascii="彩虹粗仿宋" w:eastAsia="彩虹粗仿宋" w:hint="eastAsia"/>
          <w:sz w:val="24"/>
        </w:rPr>
        <w:t>；</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12.</w:t>
      </w:r>
      <w:r>
        <w:rPr>
          <w:rFonts w:ascii="彩虹粗仿宋" w:eastAsia="彩虹粗仿宋" w:hint="eastAsia"/>
          <w:sz w:val="24"/>
        </w:rPr>
        <w:t>本基金主动投资于流动性受限资产的市值合计不得超过基金资产净值的</w:t>
      </w:r>
      <w:r>
        <w:rPr>
          <w:rFonts w:ascii="彩虹粗仿宋" w:eastAsia="彩虹粗仿宋" w:hint="eastAsia"/>
          <w:sz w:val="24"/>
        </w:rPr>
        <w:t>15%</w:t>
      </w:r>
      <w:r>
        <w:rPr>
          <w:rFonts w:ascii="彩虹粗仿宋" w:eastAsia="彩虹粗仿宋" w:hint="eastAsia"/>
          <w:sz w:val="24"/>
        </w:rPr>
        <w:t>；因证券市场波动、基金规模变动等基金管理人之外的因素致使基金不符合本条所规定比例限制的，基金管理人不得主动新增流动性受限资产的投资；</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13.</w:t>
      </w:r>
      <w:r>
        <w:rPr>
          <w:rFonts w:ascii="彩虹粗仿宋" w:eastAsia="彩虹粗仿宋" w:hint="eastAsia"/>
          <w:sz w:val="24"/>
        </w:rPr>
        <w:t>法律法规及中国证监会规定的和《基金合同》约定的其他投资比例限制。</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除上述</w:t>
      </w:r>
      <w:r>
        <w:rPr>
          <w:rFonts w:ascii="彩虹粗仿宋" w:eastAsia="彩虹粗仿宋" w:hint="eastAsia"/>
          <w:sz w:val="24"/>
        </w:rPr>
        <w:t>2</w:t>
      </w:r>
      <w:r>
        <w:rPr>
          <w:rFonts w:ascii="彩虹粗仿宋" w:eastAsia="彩虹粗仿宋" w:hint="eastAsia"/>
          <w:sz w:val="24"/>
        </w:rPr>
        <w:t>、</w:t>
      </w:r>
      <w:r>
        <w:rPr>
          <w:rFonts w:ascii="彩虹粗仿宋" w:eastAsia="彩虹粗仿宋"/>
          <w:sz w:val="24"/>
        </w:rPr>
        <w:t>10</w:t>
      </w:r>
      <w:r>
        <w:rPr>
          <w:rFonts w:ascii="彩虹粗仿宋" w:eastAsia="彩虹粗仿宋" w:hint="eastAsia"/>
          <w:sz w:val="24"/>
        </w:rPr>
        <w:t>、</w:t>
      </w:r>
      <w:r>
        <w:rPr>
          <w:rFonts w:ascii="彩虹粗仿宋" w:eastAsia="彩虹粗仿宋" w:hint="eastAsia"/>
          <w:sz w:val="24"/>
        </w:rPr>
        <w:t>1</w:t>
      </w:r>
      <w:r>
        <w:rPr>
          <w:rFonts w:ascii="彩虹粗仿宋" w:eastAsia="彩虹粗仿宋"/>
          <w:sz w:val="24"/>
        </w:rPr>
        <w:t>2</w:t>
      </w:r>
      <w:r>
        <w:rPr>
          <w:rFonts w:ascii="彩虹粗仿宋" w:eastAsia="彩虹粗仿宋" w:hint="eastAsia"/>
          <w:sz w:val="24"/>
        </w:rPr>
        <w:t>以外，因证券市场波动、上市公司合并、基金规模变动等基金管理人之外的因素致使基金投资比例不符合上述规定投资比例的，基金管理人应当在</w:t>
      </w:r>
      <w:r>
        <w:rPr>
          <w:rFonts w:ascii="彩虹粗仿宋" w:eastAsia="彩虹粗仿宋" w:hint="eastAsia"/>
          <w:sz w:val="24"/>
        </w:rPr>
        <w:t>10</w:t>
      </w:r>
      <w:r>
        <w:rPr>
          <w:rFonts w:ascii="彩虹粗仿宋" w:eastAsia="彩虹粗仿宋" w:hint="eastAsia"/>
          <w:sz w:val="24"/>
        </w:rPr>
        <w:t>个交易日内进行调整，但中国证监会规定的特殊情形除外。</w:t>
      </w:r>
    </w:p>
    <w:p w:rsidR="00E377B2" w:rsidRDefault="00AC2CD0">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w:t>
      </w:r>
      <w:r>
        <w:rPr>
          <w:rFonts w:ascii="彩虹粗仿宋" w:eastAsia="彩虹粗仿宋"/>
          <w:sz w:val="24"/>
        </w:rPr>
        <w:t>6</w:t>
      </w:r>
      <w:r>
        <w:rPr>
          <w:rFonts w:ascii="彩虹粗仿宋" w:eastAsia="彩虹粗仿宋" w:hint="eastAsia"/>
          <w:sz w:val="24"/>
        </w:rPr>
        <w:t>个月内使基金的投资组合比例符合基金合同的有关约定。在上</w:t>
      </w:r>
      <w:r>
        <w:rPr>
          <w:rFonts w:ascii="彩虹粗仿宋" w:eastAsia="彩虹粗仿宋" w:hint="eastAsia"/>
          <w:sz w:val="24"/>
        </w:rPr>
        <w:t>述期间内，本基金的投资范围、投资策略应当符合基金合同的约定。基金托管人对基金的投资的监督与检查自本基金合同生效之日起开始。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w:t>
      </w:r>
      <w:r>
        <w:rPr>
          <w:rFonts w:ascii="彩虹粗仿宋" w:eastAsia="彩虹粗仿宋" w:hAnsi="宋体" w:cs="Arial" w:hint="eastAsia"/>
          <w:sz w:val="24"/>
        </w:rPr>
        <w:t>先得到基金托管人的同意，并履行信息披露义务。</w:t>
      </w:r>
    </w:p>
    <w:p w:rsidR="00E377B2" w:rsidRDefault="00AC2CD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w:t>
      </w:r>
      <w:r>
        <w:rPr>
          <w:rFonts w:ascii="彩虹粗仿宋" w:eastAsia="彩虹粗仿宋" w:hAnsi="宋体" w:cs="Arial" w:hint="eastAsia"/>
          <w:sz w:val="24"/>
        </w:rPr>
        <w:lastRenderedPageBreak/>
        <w:t>理人是否按事前提供的银行间债券市场交易对手名单进行交易。基金管理人可以每半年对银行间债券市场交易对手名单及结算方式</w:t>
      </w:r>
      <w:r>
        <w:rPr>
          <w:rFonts w:ascii="彩虹粗仿宋" w:eastAsia="彩虹粗仿宋" w:hAnsi="宋体" w:cs="Arial" w:hint="eastAsia"/>
          <w:sz w:val="24"/>
        </w:rPr>
        <w:t>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彩虹粗仿宋" w:eastAsia="彩虹粗仿宋" w:hAnsi="宋体" w:cs="Arial" w:hint="eastAsia"/>
          <w:sz w:val="24"/>
        </w:rPr>
        <w:t>3</w:t>
      </w:r>
      <w:r>
        <w:rPr>
          <w:rFonts w:ascii="彩虹粗仿宋" w:eastAsia="彩虹粗仿宋" w:hAnsi="宋体" w:cs="Arial" w:hint="eastAsia"/>
          <w:sz w:val="24"/>
        </w:rPr>
        <w:t>个工作日内与基金托管人协商解决。若管理人未提供交易对手名单，则视同可与所有交易对手进行交易。</w:t>
      </w:r>
    </w:p>
    <w:p w:rsidR="00E377B2" w:rsidRDefault="00AC2CD0">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w:t>
      </w:r>
      <w:r>
        <w:rPr>
          <w:rFonts w:ascii="彩虹粗仿宋" w:eastAsia="彩虹粗仿宋" w:hint="eastAsia"/>
          <w:sz w:val="24"/>
        </w:rPr>
        <w:t>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w:t>
      </w:r>
      <w:r>
        <w:rPr>
          <w:rFonts w:ascii="彩虹粗仿宋" w:eastAsia="彩虹粗仿宋" w:hAnsi="宋体" w:cs="Arial" w:hint="eastAsia"/>
          <w:sz w:val="24"/>
        </w:rPr>
        <w:t>材料中登载基金业绩表现数据等进行监督和核查。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w:t>
      </w:r>
      <w:r>
        <w:rPr>
          <w:rFonts w:ascii="彩虹粗仿宋" w:eastAsia="彩虹粗仿宋" w:hAnsi="宋体" w:cs="Arial" w:hint="eastAsia"/>
          <w:sz w:val="24"/>
        </w:rPr>
        <w:t>理人对基金托管人通知的违规事项未能在限期内纠正的，基金托管人应报告中国证监会。</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（八）若基金托管人发现基金管理人依据交易程序已经生效的指令违反法律、行政法规和其他有关规定</w:t>
      </w:r>
      <w:r>
        <w:rPr>
          <w:rFonts w:ascii="彩虹粗仿宋" w:eastAsia="彩虹粗仿宋" w:hAnsi="宋体" w:cs="Arial" w:hint="eastAsia"/>
          <w:sz w:val="24"/>
        </w:rPr>
        <w:t>，或者违反《基金合同》约定的，应当立即通知基金管理人，由此造成的损失由基金管理人承担。</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377B2" w:rsidRDefault="00E377B2">
      <w:pPr>
        <w:rPr>
          <w:rFonts w:ascii="彩虹粗仿宋" w:eastAsia="彩虹粗仿宋"/>
          <w:sz w:val="24"/>
        </w:rPr>
      </w:pPr>
    </w:p>
    <w:p w:rsidR="00E377B2" w:rsidRDefault="00AC2CD0">
      <w:pPr>
        <w:pStyle w:val="2"/>
        <w:jc w:val="center"/>
        <w:rPr>
          <w:rFonts w:ascii="彩虹粗仿宋" w:eastAsia="彩虹粗仿宋"/>
          <w:sz w:val="30"/>
        </w:rPr>
      </w:pPr>
      <w:bookmarkStart w:id="6" w:name="_Toc86737929"/>
      <w:bookmarkStart w:id="7" w:name="_Toc118774803"/>
      <w:bookmarkStart w:id="8" w:name="_Toc86649722"/>
      <w:bookmarkStart w:id="9" w:name="_Toc108512358"/>
      <w:bookmarkStart w:id="10" w:name="_Toc89163368"/>
      <w:bookmarkStart w:id="11" w:name="_Toc86727355"/>
      <w:bookmarkStart w:id="12" w:name="_Toc86225291"/>
      <w:bookmarkStart w:id="13" w:name="_Toc86223242"/>
      <w:bookmarkStart w:id="14" w:name="_Toc110761796"/>
      <w:bookmarkStart w:id="15" w:name="_Toc110765660"/>
      <w:bookmarkStart w:id="16" w:name="_Toc118212950"/>
      <w:bookmarkStart w:id="17" w:name="_Toc119402710"/>
      <w:bookmarkStart w:id="18" w:name="_Toc110830492"/>
      <w:bookmarkStart w:id="19" w:name="_Toc120435783"/>
      <w:bookmarkStart w:id="20" w:name="_Toc86726439"/>
      <w:bookmarkStart w:id="21" w:name="_Toc118972648"/>
      <w:bookmarkStart w:id="22" w:name="_Toc4702"/>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w:t>
      </w:r>
      <w:r>
        <w:rPr>
          <w:rFonts w:ascii="彩虹粗仿宋" w:eastAsia="彩虹粗仿宋" w:hAnsi="宋体" w:cs="Arial" w:hint="eastAsia"/>
          <w:sz w:val="24"/>
        </w:rPr>
        <w:lastRenderedPageBreak/>
        <w:t>金托管人安</w:t>
      </w:r>
      <w:r>
        <w:rPr>
          <w:rFonts w:ascii="彩虹粗仿宋" w:eastAsia="彩虹粗仿宋" w:hAnsi="宋体" w:cs="Arial" w:hint="eastAsia"/>
          <w:sz w:val="24"/>
        </w:rPr>
        <w:t>全保管基金财产、开设基金财产的资金账户和证券账户、复核基金管理人计算的基金资产净值和基金份额净值、根据基金管理人指令办理清算交收、相关信息披露和监督基金投资运作等行为。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w:t>
      </w:r>
      <w:r>
        <w:rPr>
          <w:rFonts w:ascii="彩虹粗仿宋" w:eastAsia="彩虹粗仿宋" w:hAnsi="宋体" w:cs="Arial" w:hint="eastAsia"/>
          <w:sz w:val="24"/>
        </w:rPr>
        <w:t>财产的完整性和真实性，在规定时间内答复基金管理人并改正。</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377B2" w:rsidRDefault="00E377B2">
      <w:pPr>
        <w:rPr>
          <w:rFonts w:ascii="彩虹粗仿宋" w:eastAsia="彩虹粗仿宋"/>
          <w:sz w:val="24"/>
        </w:rPr>
      </w:pPr>
    </w:p>
    <w:p w:rsidR="00E377B2" w:rsidRDefault="00AC2CD0">
      <w:pPr>
        <w:pStyle w:val="2"/>
        <w:jc w:val="center"/>
        <w:rPr>
          <w:rFonts w:ascii="彩虹粗仿宋" w:eastAsia="彩虹粗仿宋"/>
          <w:sz w:val="30"/>
        </w:rPr>
      </w:pPr>
      <w:bookmarkStart w:id="23" w:name="_Toc119402711"/>
      <w:bookmarkStart w:id="24" w:name="_Toc120435784"/>
      <w:bookmarkStart w:id="25" w:name="_Toc86737930"/>
      <w:bookmarkStart w:id="26" w:name="_Toc108512359"/>
      <w:bookmarkStart w:id="27" w:name="_Toc110761797"/>
      <w:bookmarkStart w:id="28" w:name="_Toc86225292"/>
      <w:bookmarkStart w:id="29" w:name="_Toc84234435"/>
      <w:bookmarkStart w:id="30" w:name="_Toc84234388"/>
      <w:bookmarkStart w:id="31" w:name="_Toc86649723"/>
      <w:bookmarkStart w:id="32" w:name="_Toc86727356"/>
      <w:bookmarkStart w:id="33" w:name="_Toc86223243"/>
      <w:bookmarkStart w:id="34" w:name="_Toc110765661"/>
      <w:bookmarkStart w:id="35" w:name="_Toc89163369"/>
      <w:bookmarkStart w:id="36" w:name="_Toc84133786"/>
      <w:bookmarkStart w:id="37" w:name="_Toc110830493"/>
      <w:bookmarkStart w:id="38" w:name="_Toc118972649"/>
      <w:bookmarkStart w:id="39" w:name="_Toc118212951"/>
      <w:bookmarkStart w:id="40" w:name="_Toc86726440"/>
      <w:bookmarkStart w:id="41" w:name="_Toc86204789"/>
      <w:bookmarkStart w:id="42" w:name="_Toc118774804"/>
      <w:bookmarkStart w:id="43" w:name="_Toc24116"/>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基金财产应独立于基金管理人、基金托管人的固有财产。</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基金托管人应安全保管基金财产。</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基金托管</w:t>
      </w:r>
      <w:r>
        <w:rPr>
          <w:rFonts w:ascii="彩虹粗仿宋" w:eastAsia="彩虹粗仿宋" w:hAnsi="宋体" w:cs="Arial" w:hint="eastAsia"/>
          <w:sz w:val="24"/>
        </w:rPr>
        <w:t>人按照规定开设基金财产的资金账户和证券账户。</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基金托管人对所托管的不同基金财产分别设置账户，确保基金财产的完整与独立。</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w:t>
      </w:r>
      <w:r>
        <w:rPr>
          <w:rFonts w:ascii="彩虹粗仿宋" w:eastAsia="彩虹粗仿宋" w:hint="eastAsia"/>
          <w:sz w:val="24"/>
        </w:rPr>
        <w:t>/</w:t>
      </w:r>
      <w:r>
        <w:rPr>
          <w:rFonts w:ascii="彩虹粗仿宋" w:eastAsia="彩虹粗仿宋" w:hint="eastAsia"/>
          <w:sz w:val="24"/>
        </w:rPr>
        <w:t>登记结算机构扣收交易费、结算费和账户维护费等费用）。</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除依据法律法规和《基金合同》的规定外，基金托管人不得委托第三人托管基金财产。</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基金募集期间募集的资金应存于基金管理人在基金托管人的营业机构开立的“基金募集专户”。该账户由基金管理人开立</w:t>
      </w:r>
      <w:r>
        <w:rPr>
          <w:rFonts w:ascii="彩虹粗仿宋" w:eastAsia="彩虹粗仿宋" w:hAnsi="宋体" w:cs="Arial" w:hint="eastAsia"/>
          <w:sz w:val="24"/>
        </w:rPr>
        <w:t>并管理。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w:t>
      </w:r>
      <w:r>
        <w:rPr>
          <w:rFonts w:ascii="彩虹粗仿宋" w:eastAsia="彩虹粗仿宋" w:hAnsi="宋体" w:cs="Arial" w:hint="eastAsia"/>
          <w:sz w:val="24"/>
        </w:rPr>
        <w:lastRenderedPageBreak/>
        <w:t>验资报告由参加验资的</w:t>
      </w:r>
      <w:r>
        <w:rPr>
          <w:rFonts w:ascii="彩虹粗仿宋" w:eastAsia="彩虹粗仿宋" w:hAnsi="宋体" w:cs="Arial" w:hint="eastAsia"/>
          <w:sz w:val="24"/>
        </w:rPr>
        <w:t>2</w:t>
      </w:r>
      <w:r>
        <w:rPr>
          <w:rFonts w:ascii="彩虹粗仿宋" w:eastAsia="彩虹粗仿宋" w:hAnsi="宋体" w:cs="Arial" w:hint="eastAsia"/>
          <w:sz w:val="24"/>
        </w:rPr>
        <w:t>名或</w:t>
      </w:r>
      <w:r>
        <w:rPr>
          <w:rFonts w:ascii="彩虹粗仿宋" w:eastAsia="彩虹粗仿宋" w:hAnsi="宋体" w:cs="Arial" w:hint="eastAsia"/>
          <w:sz w:val="24"/>
        </w:rPr>
        <w:t>2</w:t>
      </w:r>
      <w:r>
        <w:rPr>
          <w:rFonts w:ascii="彩虹粗仿宋" w:eastAsia="彩虹粗仿宋" w:hAnsi="宋体" w:cs="Arial" w:hint="eastAsia"/>
          <w:sz w:val="24"/>
        </w:rPr>
        <w:t>名以上中国注册会计师签字方为有效。</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若基金募集期限届满，未能达到《基金合同》生效的条件，由基金管理人按规定办理退款等事宜。</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基金托管人可以基金的名</w:t>
      </w:r>
      <w:r>
        <w:rPr>
          <w:rFonts w:ascii="彩虹粗仿宋" w:eastAsia="彩虹粗仿宋" w:hAnsi="宋体" w:cs="Arial" w:hint="eastAsia"/>
          <w:sz w:val="24"/>
        </w:rPr>
        <w:t>义在其营业机构开立基金的银行账户，并根据基金管理人合法合规的指令办理资金收付。本基金的银行预留印鉴由基金托管人保管和使用。</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基金银行账户的开立和管理应符合银行业监督管理机构的有关规定。</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在符合法律法规规定的条件下，基金托管人可以通过基金托管人专用账户办理基金资产的支付。</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管理人应于托管产品清盘后及时完成收益兑付、费用结清及</w:t>
      </w:r>
      <w:r>
        <w:rPr>
          <w:rFonts w:ascii="彩虹粗仿宋" w:eastAsia="彩虹粗仿宋" w:hAnsi="宋体" w:cs="Arial" w:hint="eastAsia"/>
          <w:sz w:val="24"/>
        </w:rPr>
        <w:t>其他应收应付款项资金划转，在确保后续不再发生款项进出后的</w:t>
      </w:r>
      <w:r>
        <w:rPr>
          <w:rFonts w:ascii="彩虹粗仿宋" w:eastAsia="彩虹粗仿宋" w:hAnsi="宋体" w:cs="Arial" w:hint="eastAsia"/>
          <w:sz w:val="24"/>
        </w:rPr>
        <w:t>10</w:t>
      </w:r>
      <w:r>
        <w:rPr>
          <w:rFonts w:ascii="彩虹粗仿宋" w:eastAsia="彩虹粗仿宋" w:hAnsi="宋体" w:cs="Arial" w:hint="eastAsia"/>
          <w:sz w:val="24"/>
        </w:rPr>
        <w:t>个工作日内向托管人发出销户申请。</w:t>
      </w:r>
    </w:p>
    <w:p w:rsidR="00E377B2" w:rsidRDefault="00E377B2">
      <w:pPr>
        <w:adjustRightInd w:val="0"/>
        <w:snapToGrid w:val="0"/>
        <w:ind w:firstLine="480"/>
        <w:rPr>
          <w:rFonts w:ascii="彩虹粗仿宋" w:eastAsia="彩虹粗仿宋" w:hAnsi="宋体" w:cs="Arial"/>
          <w:sz w:val="24"/>
        </w:rPr>
      </w:pP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基金托管人在中国证券登记结算有限责任公司为基金开立基金托管人与基金联名的证券账户。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基金证券账户的开立和证券账户卡的保管由基金托管人负责，账户资产的管理和运用由基金管理人负责</w:t>
      </w:r>
      <w:r>
        <w:rPr>
          <w:rFonts w:ascii="彩虹粗仿宋" w:eastAsia="彩虹粗仿宋" w:hAnsi="宋体" w:cs="Arial" w:hint="eastAsia"/>
          <w:sz w:val="24"/>
        </w:rPr>
        <w:t>。</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w:t>
      </w:r>
      <w:r>
        <w:rPr>
          <w:rFonts w:ascii="彩虹粗仿宋" w:eastAsia="彩虹粗仿宋" w:hAnsi="宋体" w:cs="Arial" w:hint="eastAsia"/>
          <w:sz w:val="24"/>
        </w:rPr>
        <w:t>,</w:t>
      </w:r>
      <w:r>
        <w:rPr>
          <w:rFonts w:ascii="彩虹粗仿宋" w:eastAsia="彩虹粗仿宋" w:hAnsi="宋体" w:cs="Arial" w:hint="eastAsia"/>
          <w:sz w:val="24"/>
        </w:rPr>
        <w:t>待托管产品启始运营后</w:t>
      </w:r>
      <w:r>
        <w:rPr>
          <w:rFonts w:ascii="彩虹粗仿宋" w:eastAsia="彩虹粗仿宋" w:hAnsi="宋体" w:cs="Arial" w:hint="eastAsia"/>
          <w:sz w:val="24"/>
        </w:rPr>
        <w:t>,</w:t>
      </w:r>
      <w:r>
        <w:rPr>
          <w:rFonts w:ascii="彩虹粗仿宋" w:eastAsia="彩虹粗仿宋" w:hAnsi="宋体" w:cs="Arial" w:hint="eastAsia"/>
          <w:sz w:val="24"/>
        </w:rPr>
        <w:t>基金管理人可向基金托管人发送划款指令</w:t>
      </w:r>
      <w:r>
        <w:rPr>
          <w:rFonts w:ascii="彩虹粗仿宋" w:eastAsia="彩虹粗仿宋" w:hAnsi="宋体" w:cs="Arial" w:hint="eastAsia"/>
          <w:sz w:val="24"/>
        </w:rPr>
        <w:t>,</w:t>
      </w:r>
      <w:r>
        <w:rPr>
          <w:rFonts w:ascii="彩虹粗仿宋" w:eastAsia="彩虹粗仿宋" w:hAnsi="宋体" w:cs="Arial" w:hint="eastAsia"/>
          <w:sz w:val="24"/>
        </w:rPr>
        <w:t>将代垫开户费从本基金托管资金账户中扣还基金管理人。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账户注销时，由基金管理人依据中</w:t>
      </w:r>
      <w:r>
        <w:rPr>
          <w:rFonts w:ascii="彩虹粗仿宋" w:eastAsia="彩虹粗仿宋" w:hAnsi="宋体" w:cs="Arial" w:hint="eastAsia"/>
          <w:sz w:val="24"/>
        </w:rPr>
        <w:t>国证券登记结算公司相关规定，委托有交易关系的证券公司负责办理。销户完成后，基金管理人需将相关证明提供至基金托管人。账户注销期间如需基金托管人提供配合的，基金托管人应予以配合。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w:t>
      </w:r>
      <w:r>
        <w:rPr>
          <w:rFonts w:ascii="彩虹粗仿宋" w:eastAsia="彩虹粗仿宋" w:hAnsi="宋体" w:cs="Arial" w:hint="eastAsia"/>
          <w:sz w:val="24"/>
        </w:rPr>
        <w:t>人根据中国人民银行、银行间市场登记结算机构的有关规定，在银行间市场登记结算机构开立债券托管账户，持有人账户和资金结算账户，并代表基金进行银行间市场债券的结算。基金</w:t>
      </w:r>
      <w:r>
        <w:rPr>
          <w:rFonts w:ascii="彩虹粗仿宋" w:eastAsia="彩虹粗仿宋" w:hAnsi="宋体" w:cs="Arial" w:hint="eastAsia"/>
          <w:sz w:val="24"/>
        </w:rPr>
        <w:lastRenderedPageBreak/>
        <w:t>管理人和基金托管人共同代表基金签订全国银行间债券市场债券回购主协议。</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法</w:t>
      </w:r>
      <w:r>
        <w:rPr>
          <w:rFonts w:ascii="彩虹粗仿宋" w:eastAsia="彩虹粗仿宋" w:hAnsi="宋体" w:cs="Arial" w:hint="eastAsia"/>
          <w:sz w:val="24"/>
        </w:rPr>
        <w:t>律法规等有关规定对相关账户的开立和管理另有规定的，从其规定办理。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E377B2" w:rsidRDefault="00AC2CD0">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Pr>
          <w:rFonts w:ascii="彩虹粗仿宋" w:eastAsia="彩虹粗仿宋" w:hAnsi="宋体" w:cs="Arial" w:hint="eastAsia"/>
          <w:sz w:val="24"/>
        </w:rPr>
        <w:t>/</w:t>
      </w:r>
      <w:r>
        <w:rPr>
          <w:rFonts w:ascii="彩虹粗仿宋" w:eastAsia="彩虹粗仿宋" w:hAnsi="宋体" w:cs="Arial" w:hint="eastAsia"/>
          <w:sz w:val="24"/>
        </w:rPr>
        <w:t>深圳分公司</w:t>
      </w:r>
      <w:r>
        <w:rPr>
          <w:rFonts w:ascii="彩虹粗仿宋" w:eastAsia="彩虹粗仿宋" w:hAnsi="宋体" w:cs="Arial" w:hint="eastAsia"/>
          <w:sz w:val="24"/>
        </w:rPr>
        <w:t>/</w:t>
      </w:r>
      <w:r>
        <w:rPr>
          <w:rFonts w:ascii="彩虹粗仿宋" w:eastAsia="彩虹粗仿宋" w:hAnsi="宋体" w:cs="Arial" w:hint="eastAsia"/>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E377B2" w:rsidRDefault="00AC2CD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w:t>
      </w:r>
      <w:r>
        <w:rPr>
          <w:rFonts w:ascii="彩虹粗仿宋" w:eastAsia="彩虹粗仿宋" w:hAnsi="宋体" w:cs="Arial" w:hint="eastAsia"/>
          <w:sz w:val="24"/>
        </w:rPr>
        <w:t>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hint="eastAsia"/>
          <w:sz w:val="24"/>
        </w:rPr>
        <w:t>15</w:t>
      </w:r>
      <w:r>
        <w:rPr>
          <w:rFonts w:ascii="彩虹粗仿宋" w:eastAsia="彩虹粗仿宋" w:hAnsi="宋体" w:cs="Arial" w:hint="eastAsia"/>
          <w:sz w:val="24"/>
        </w:rPr>
        <w:t>年。</w:t>
      </w:r>
    </w:p>
    <w:p w:rsidR="00E377B2" w:rsidRDefault="00E377B2">
      <w:pPr>
        <w:rPr>
          <w:rFonts w:ascii="彩虹粗仿宋" w:eastAsia="彩虹粗仿宋"/>
          <w:sz w:val="24"/>
        </w:rPr>
      </w:pPr>
    </w:p>
    <w:p w:rsidR="00E377B2" w:rsidRDefault="00AC2CD0">
      <w:pPr>
        <w:pStyle w:val="2"/>
        <w:jc w:val="center"/>
        <w:rPr>
          <w:rFonts w:ascii="彩虹粗仿宋" w:eastAsia="彩虹粗仿宋"/>
          <w:sz w:val="30"/>
        </w:rPr>
      </w:pPr>
      <w:bookmarkStart w:id="44" w:name="_Toc84133787"/>
      <w:bookmarkStart w:id="45" w:name="_Toc120435785"/>
      <w:bookmarkStart w:id="46" w:name="_Toc86649724"/>
      <w:bookmarkStart w:id="47" w:name="_Toc118972650"/>
      <w:bookmarkStart w:id="48" w:name="_Toc86727357"/>
      <w:bookmarkStart w:id="49" w:name="_Toc118774805"/>
      <w:bookmarkStart w:id="50" w:name="_Toc110761798"/>
      <w:bookmarkStart w:id="51" w:name="_Toc118212952"/>
      <w:bookmarkStart w:id="52" w:name="_Toc86204790"/>
      <w:bookmarkStart w:id="53" w:name="_Toc84234436"/>
      <w:bookmarkStart w:id="54" w:name="_Toc110765662"/>
      <w:bookmarkStart w:id="55" w:name="_Toc86223244"/>
      <w:bookmarkStart w:id="56" w:name="_Toc86726441"/>
      <w:bookmarkStart w:id="57" w:name="_Toc108512360"/>
      <w:bookmarkStart w:id="58" w:name="_Toc89163370"/>
      <w:bookmarkStart w:id="59" w:name="_Toc110830494"/>
      <w:bookmarkStart w:id="60" w:name="_Toc84234389"/>
      <w:bookmarkStart w:id="61" w:name="_Toc119402712"/>
      <w:bookmarkStart w:id="62" w:name="_Toc86225293"/>
      <w:bookmarkStart w:id="63" w:name="_Toc86737931"/>
      <w:bookmarkStart w:id="64" w:name="_Toc1668"/>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w:t>
      </w:r>
      <w:r>
        <w:rPr>
          <w:rFonts w:ascii="彩虹粗仿宋" w:eastAsia="彩虹粗仿宋" w:hAnsi="宋体" w:cs="Arial" w:hint="eastAsia"/>
          <w:sz w:val="24"/>
        </w:rPr>
        <w:t>及其他款项付款指令，基金托管人执行基金管理人的指令、办理基金名下的资金往来等有关事项。</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基金管理人应指定专人向基金托管人发送指令。</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w:t>
      </w:r>
      <w:r>
        <w:rPr>
          <w:rFonts w:ascii="彩虹粗仿宋" w:eastAsia="彩虹粗仿宋" w:hAnsi="宋体" w:cs="Arial" w:hint="eastAsia"/>
          <w:sz w:val="24"/>
        </w:rPr>
        <w:t>认的时点为授权文件的生效时间。</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指令包括付款指令以及其他资金划拨指令等。</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基金管理人发给基金托管人的指令应写明款项事由、支付时间、到账时间、金额、账户等，加盖预留印鉴并由被授权人签字。</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（三）指令的发送、确认及执行的时间和程序</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指令的发送</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w:t>
      </w:r>
      <w:r>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w:t>
      </w:r>
      <w:r>
        <w:rPr>
          <w:rFonts w:ascii="彩虹粗仿宋" w:eastAsia="彩虹粗仿宋" w:hAnsi="宋体" w:hint="eastAsia"/>
          <w:sz w:val="24"/>
        </w:rPr>
        <w:t>托管人完成后台交易匹配及资金交收事宜。如果银行间结算系统已经生成的交易需要取消或终止，基金管理人要书面通知基金托管人。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指令的确认</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指令的时间和执行</w:t>
      </w:r>
    </w:p>
    <w:p w:rsidR="00E377B2" w:rsidRDefault="00AC2CD0">
      <w:pPr>
        <w:pStyle w:val="aa"/>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w:t>
      </w:r>
      <w:r>
        <w:rPr>
          <w:rFonts w:ascii="彩虹粗仿宋" w:eastAsia="彩虹粗仿宋" w:hAnsi="宋体" w:cs="Arial" w:hint="eastAsia"/>
        </w:rPr>
        <w:t>1</w:t>
      </w:r>
      <w:r>
        <w:rPr>
          <w:rFonts w:ascii="彩虹粗仿宋" w:eastAsia="彩虹粗仿宋" w:hAnsi="宋体" w:cs="Arial" w:hint="eastAsia"/>
        </w:rPr>
        <w:t>个工作日向基金</w:t>
      </w:r>
      <w:r>
        <w:rPr>
          <w:rFonts w:ascii="彩虹粗仿宋" w:eastAsia="彩虹粗仿宋" w:hAnsi="宋体" w:cs="Arial" w:hint="eastAsia"/>
        </w:rPr>
        <w:t>托管人发送指令并确认。对于要求当天到账的指令，必须在当天</w:t>
      </w:r>
      <w:r>
        <w:rPr>
          <w:rFonts w:ascii="彩虹粗仿宋" w:eastAsia="彩虹粗仿宋" w:hAnsi="宋体" w:cs="Arial" w:hint="eastAsia"/>
        </w:rPr>
        <w:t>15:30</w:t>
      </w:r>
      <w:r>
        <w:rPr>
          <w:rFonts w:ascii="彩虹粗仿宋" w:eastAsia="彩虹粗仿宋" w:hAnsi="宋体" w:cs="Arial" w:hint="eastAsia"/>
        </w:rPr>
        <w:t>前向基金托管人发送，</w:t>
      </w:r>
      <w:r>
        <w:rPr>
          <w:rFonts w:ascii="彩虹粗仿宋" w:eastAsia="彩虹粗仿宋" w:hAnsi="宋体" w:cs="Arial" w:hint="eastAsia"/>
        </w:rPr>
        <w:t>15:30</w:t>
      </w:r>
      <w:r>
        <w:rPr>
          <w:rFonts w:ascii="彩虹粗仿宋" w:eastAsia="彩虹粗仿宋" w:hAnsi="宋体" w:cs="Arial" w:hint="eastAsia"/>
        </w:rPr>
        <w:t>之后发送的，基金托管人尽力执行，但不能保证划账成功。如果要求当天某一时点到账的指令，则指令需要提前</w:t>
      </w:r>
      <w:r>
        <w:rPr>
          <w:rFonts w:ascii="彩虹粗仿宋" w:eastAsia="彩虹粗仿宋" w:hAnsi="宋体" w:cs="Arial" w:hint="eastAsia"/>
        </w:rPr>
        <w:t>2</w:t>
      </w:r>
      <w:r>
        <w:rPr>
          <w:rFonts w:ascii="彩虹粗仿宋" w:eastAsia="彩虹粗仿宋" w:hAnsi="宋体" w:cs="Arial" w:hint="eastAsia"/>
        </w:rPr>
        <w:t>个工作小时发送，并相关付款条件已经具备。基金托管人将视付款条件具备时为指令送达时间。对新股申购网下发行业务，基金管理人应在网下申购缴款日</w:t>
      </w:r>
      <w:r>
        <w:rPr>
          <w:rFonts w:ascii="彩虹粗仿宋" w:eastAsia="彩虹粗仿宋" w:hAnsi="宋体" w:cs="Arial" w:hint="eastAsia"/>
        </w:rPr>
        <w:t>(T</w:t>
      </w:r>
      <w:r>
        <w:rPr>
          <w:rFonts w:ascii="彩虹粗仿宋" w:eastAsia="彩虹粗仿宋" w:hAnsi="宋体" w:cs="Arial" w:hint="eastAsia"/>
        </w:rPr>
        <w:t>日</w:t>
      </w:r>
      <w:r>
        <w:rPr>
          <w:rFonts w:ascii="彩虹粗仿宋" w:eastAsia="彩虹粗仿宋" w:hAnsi="宋体" w:cs="Arial" w:hint="eastAsia"/>
        </w:rPr>
        <w:t>)</w:t>
      </w:r>
      <w:r>
        <w:rPr>
          <w:rFonts w:ascii="彩虹粗仿宋" w:eastAsia="彩虹粗仿宋" w:hAnsi="宋体" w:cs="Arial" w:hint="eastAsia"/>
        </w:rPr>
        <w:t>的前一工作日下班前将指令发送给基金托管人，指令发送时间最迟不应晚于</w:t>
      </w:r>
      <w:r>
        <w:rPr>
          <w:rFonts w:ascii="彩虹粗仿宋" w:eastAsia="彩虹粗仿宋" w:hAnsi="宋体" w:cs="Arial" w:hint="eastAsia"/>
        </w:rPr>
        <w:t>T</w:t>
      </w:r>
      <w:r>
        <w:rPr>
          <w:rFonts w:ascii="彩虹粗仿宋" w:eastAsia="彩虹粗仿宋" w:hAnsi="宋体" w:cs="Arial" w:hint="eastAsia"/>
        </w:rPr>
        <w:t>日上午</w:t>
      </w:r>
      <w:r>
        <w:rPr>
          <w:rFonts w:ascii="彩虹粗仿宋" w:eastAsia="彩虹粗仿宋" w:hAnsi="宋体" w:cs="Arial" w:hint="eastAsia"/>
        </w:rPr>
        <w:t>10:00</w:t>
      </w:r>
      <w:r>
        <w:rPr>
          <w:rFonts w:ascii="彩虹粗仿宋" w:eastAsia="彩虹粗仿宋" w:hAnsi="宋体" w:cs="Arial" w:hint="eastAsia"/>
        </w:rPr>
        <w:t>。</w:t>
      </w:r>
      <w:r>
        <w:rPr>
          <w:rFonts w:ascii="彩虹粗仿宋" w:eastAsia="彩虹粗仿宋" w:hAnsi="宋体" w:cs="Arial" w:hint="eastAsia"/>
          <w:szCs w:val="24"/>
        </w:rPr>
        <w:t>对于中国证券登记结算有限责任公司实行</w:t>
      </w:r>
      <w:r>
        <w:rPr>
          <w:rFonts w:ascii="彩虹粗仿宋" w:eastAsia="彩虹粗仿宋" w:hAnsi="宋体" w:cs="Arial" w:hint="eastAsia"/>
          <w:szCs w:val="24"/>
        </w:rPr>
        <w:t>T+0</w:t>
      </w:r>
      <w:r>
        <w:rPr>
          <w:rFonts w:ascii="彩虹粗仿宋" w:eastAsia="彩虹粗仿宋" w:hAnsi="宋体" w:cs="Arial" w:hint="eastAsia"/>
          <w:szCs w:val="24"/>
        </w:rPr>
        <w:t>非担保交收的业务，基金管理人应在交易日</w:t>
      </w:r>
      <w:r>
        <w:rPr>
          <w:rFonts w:ascii="彩虹粗仿宋" w:eastAsia="彩虹粗仿宋" w:hAnsi="宋体" w:cs="Arial"/>
          <w:szCs w:val="24"/>
        </w:rPr>
        <w:t>14</w:t>
      </w:r>
      <w:r>
        <w:rPr>
          <w:rFonts w:ascii="彩虹粗仿宋" w:eastAsia="彩虹粗仿宋" w:hAnsi="宋体" w:cs="Arial" w:hint="eastAsia"/>
          <w:szCs w:val="24"/>
        </w:rPr>
        <w:t>:</w:t>
      </w:r>
      <w:r>
        <w:rPr>
          <w:rFonts w:ascii="彩虹粗仿宋" w:eastAsia="彩虹粗仿宋" w:hAnsi="宋体" w:cs="Arial"/>
          <w:szCs w:val="24"/>
        </w:rPr>
        <w:t>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E377B2" w:rsidRDefault="00AC2CD0">
      <w:pPr>
        <w:pStyle w:val="aa"/>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基金托管人由于过错，未按照基金</w:t>
      </w:r>
      <w:r>
        <w:rPr>
          <w:rFonts w:ascii="彩虹粗仿宋" w:eastAsia="彩虹粗仿宋" w:hAnsi="宋体" w:cs="Arial" w:hint="eastAsia"/>
          <w:sz w:val="24"/>
        </w:rPr>
        <w:t>管理人发送的指令执行并对基金财产或投资人造成的直接损失，由基金托管人</w:t>
      </w:r>
      <w:r>
        <w:rPr>
          <w:rFonts w:ascii="彩虹粗仿宋" w:eastAsia="彩虹粗仿宋" w:hint="eastAsia"/>
          <w:sz w:val="24"/>
        </w:rPr>
        <w:t>赔偿由此造成的直接损失。</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w:t>
      </w:r>
      <w:r>
        <w:rPr>
          <w:rFonts w:ascii="彩虹粗仿宋" w:eastAsia="彩虹粗仿宋" w:hAnsi="宋体" w:cs="Arial" w:hint="eastAsia"/>
          <w:sz w:val="24"/>
        </w:rPr>
        <w:t>通过录音电话通知基金管理人。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65" w:name="_Toc89163371"/>
      <w:bookmarkStart w:id="66" w:name="_Toc110765663"/>
      <w:bookmarkStart w:id="67" w:name="_Toc118774806"/>
      <w:bookmarkStart w:id="68" w:name="_Toc86649725"/>
      <w:bookmarkStart w:id="69" w:name="_Toc110830495"/>
      <w:bookmarkStart w:id="70" w:name="_Toc119402713"/>
      <w:bookmarkStart w:id="71" w:name="_Toc84234437"/>
      <w:bookmarkStart w:id="72" w:name="_Toc84133788"/>
      <w:bookmarkStart w:id="73" w:name="_Toc86204791"/>
      <w:bookmarkStart w:id="74" w:name="_Toc86726442"/>
      <w:bookmarkStart w:id="75" w:name="_Toc84234390"/>
      <w:bookmarkStart w:id="76" w:name="_Toc86727358"/>
      <w:bookmarkStart w:id="77" w:name="_Toc86223245"/>
      <w:bookmarkStart w:id="78" w:name="_Toc86737932"/>
      <w:bookmarkStart w:id="79" w:name="_Toc120435786"/>
      <w:bookmarkStart w:id="80" w:name="_Toc110761799"/>
      <w:bookmarkStart w:id="81" w:name="_Toc118972651"/>
      <w:bookmarkStart w:id="82" w:name="_Toc118212953"/>
      <w:bookmarkStart w:id="83" w:name="_Toc86225294"/>
      <w:bookmarkStart w:id="84" w:name="_Toc108512361"/>
      <w:bookmarkStart w:id="85" w:name="_Toc19532"/>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w:t>
      </w:r>
      <w:r>
        <w:rPr>
          <w:rFonts w:ascii="彩虹粗仿宋" w:eastAsia="彩虹粗仿宋" w:hAnsi="宋体" w:cs="Arial" w:hint="eastAsia"/>
          <w:sz w:val="24"/>
        </w:rPr>
        <w:t>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清算与交割</w:t>
      </w:r>
    </w:p>
    <w:p w:rsidR="00E377B2" w:rsidRDefault="00AC2CD0">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w:t>
      </w:r>
      <w:r>
        <w:rPr>
          <w:rFonts w:ascii="彩虹粗仿宋" w:eastAsia="彩虹粗仿宋" w:hint="eastAsia"/>
          <w:sz w:val="24"/>
        </w:rPr>
        <w:t>有关法律法规及相关业务规则，签订《托管</w:t>
      </w:r>
    </w:p>
    <w:p w:rsidR="00E377B2" w:rsidRDefault="00AC2CD0">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w:t>
      </w:r>
      <w:r>
        <w:rPr>
          <w:rFonts w:ascii="彩虹粗仿宋" w:eastAsia="彩虹粗仿宋" w:hint="eastAsia"/>
          <w:sz w:val="24"/>
        </w:rPr>
        <w:t>3</w:t>
      </w:r>
      <w:r>
        <w:rPr>
          <w:rFonts w:ascii="彩虹粗仿宋" w:eastAsia="彩虹粗仿宋"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w:t>
      </w:r>
      <w:r>
        <w:rPr>
          <w:rFonts w:ascii="彩虹粗仿宋" w:eastAsia="彩虹粗仿宋" w:hint="eastAsia"/>
          <w:sz w:val="24"/>
        </w:rPr>
        <w:t>根据中国证券登记结算有限责任公司确定的实际最低备付金、结算保证金数据为依据安排资金运作，调整所需的现金头寸。</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w:t>
      </w:r>
      <w:r>
        <w:rPr>
          <w:rFonts w:ascii="彩虹粗仿宋" w:eastAsia="彩虹粗仿宋" w:hAnsi="宋体" w:cs="Arial" w:hint="eastAsia"/>
          <w:sz w:val="24"/>
        </w:rPr>
        <w:t>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E377B2" w:rsidRDefault="00AC2CD0">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w:t>
      </w:r>
      <w:r>
        <w:rPr>
          <w:rFonts w:ascii="彩虹粗仿宋" w:eastAsia="彩虹粗仿宋" w:hAnsi="宋体" w:cs="宋体" w:hint="eastAsia"/>
          <w:color w:val="000000"/>
          <w:kern w:val="0"/>
          <w:sz w:val="24"/>
        </w:rPr>
        <w:t>T</w:t>
      </w:r>
      <w:r>
        <w:rPr>
          <w:rFonts w:ascii="彩虹粗仿宋" w:eastAsia="彩虹粗仿宋" w:hAnsi="宋体" w:cs="宋体" w:hint="eastAsia"/>
          <w:color w:val="000000"/>
          <w:kern w:val="0"/>
          <w:sz w:val="24"/>
        </w:rPr>
        <w:t>日日终有足够的资金头寸完成</w:t>
      </w:r>
      <w:r>
        <w:rPr>
          <w:rFonts w:ascii="彩虹粗仿宋" w:eastAsia="彩虹粗仿宋" w:hAnsi="宋体" w:cs="宋体" w:hint="eastAsia"/>
          <w:color w:val="000000"/>
          <w:kern w:val="0"/>
          <w:sz w:val="24"/>
        </w:rPr>
        <w:t xml:space="preserve"> T+1</w:t>
      </w:r>
      <w:r>
        <w:rPr>
          <w:rFonts w:ascii="彩虹粗仿宋" w:eastAsia="彩虹粗仿宋" w:hAnsi="宋体" w:cs="宋体" w:hint="eastAsia"/>
          <w:color w:val="000000"/>
          <w:kern w:val="0"/>
          <w:sz w:val="24"/>
        </w:rPr>
        <w:t>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w:t>
      </w:r>
      <w:r>
        <w:rPr>
          <w:rFonts w:ascii="彩虹粗仿宋" w:eastAsia="彩虹粗仿宋" w:hAnsi="宋体" w:cs="宋体" w:hint="eastAsia"/>
          <w:color w:val="000000"/>
          <w:kern w:val="0"/>
          <w:sz w:val="24"/>
        </w:rPr>
        <w:t>T+1</w:t>
      </w:r>
      <w:r>
        <w:rPr>
          <w:rFonts w:ascii="彩虹粗仿宋" w:eastAsia="彩虹粗仿宋" w:hAnsi="宋体" w:cs="宋体" w:hint="eastAsia"/>
          <w:color w:val="000000"/>
          <w:kern w:val="0"/>
          <w:sz w:val="24"/>
        </w:rPr>
        <w:t>日上午</w:t>
      </w:r>
      <w:r>
        <w:rPr>
          <w:rFonts w:ascii="彩虹粗仿宋" w:eastAsia="彩虹粗仿宋" w:hAnsi="宋体" w:cs="宋体" w:hint="eastAsia"/>
          <w:color w:val="000000"/>
          <w:kern w:val="0"/>
          <w:sz w:val="24"/>
        </w:rPr>
        <w:t>12</w:t>
      </w:r>
      <w:r>
        <w:rPr>
          <w:rFonts w:ascii="彩虹粗仿宋" w:eastAsia="彩虹粗仿宋" w:hAnsi="宋体" w:cs="宋体" w:hint="eastAsia"/>
          <w:color w:val="000000"/>
          <w:kern w:val="0"/>
          <w:sz w:val="24"/>
        </w:rPr>
        <w:t>：</w:t>
      </w:r>
      <w:r>
        <w:rPr>
          <w:rFonts w:ascii="彩虹粗仿宋" w:eastAsia="彩虹粗仿宋" w:hAnsi="宋体" w:cs="宋体" w:hint="eastAsia"/>
          <w:color w:val="000000"/>
          <w:kern w:val="0"/>
          <w:sz w:val="24"/>
        </w:rPr>
        <w:t>00</w:t>
      </w:r>
      <w:r>
        <w:rPr>
          <w:rFonts w:ascii="彩虹粗仿宋" w:eastAsia="彩虹粗仿宋" w:hAnsi="宋体" w:cs="宋体" w:hint="eastAsia"/>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Pr>
          <w:rFonts w:ascii="彩虹粗仿宋" w:eastAsia="彩虹粗仿宋" w:hAnsi="宋体" w:cs="宋体" w:hint="eastAsia"/>
          <w:color w:val="000000"/>
          <w:kern w:val="0"/>
          <w:sz w:val="24"/>
        </w:rPr>
        <w:t>券登记结算有限责任公司欠库扣款或对质押券进行处置造成的投资风险和损失由基金管理人承担。</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w:t>
      </w:r>
      <w:r>
        <w:rPr>
          <w:rFonts w:ascii="彩虹粗仿宋" w:eastAsia="彩虹粗仿宋" w:hAnsi="宋体" w:cs="Arial" w:hint="eastAsia"/>
          <w:sz w:val="24"/>
        </w:rPr>
        <w:t>T+0</w:t>
      </w:r>
      <w:r>
        <w:rPr>
          <w:rFonts w:ascii="彩虹粗仿宋" w:eastAsia="彩虹粗仿宋" w:hAnsi="宋体" w:cs="Arial" w:hint="eastAsia"/>
          <w:sz w:val="24"/>
        </w:rPr>
        <w:t>交收的资金清算按照基金托管人的相关规定流程执行。</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交易记录、资金和证券账目核对的时间和方式</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）交易记录的核对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）资金账目的核对</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）证券账目的核对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377B2" w:rsidRDefault="00AC2CD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基金份额申购、赎回的确认、清算由基金管理人或其委托的注册登记机构负责。</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基金管理人应保证本基金（或本基金管理</w:t>
      </w:r>
      <w:r>
        <w:rPr>
          <w:rFonts w:ascii="彩虹粗仿宋" w:eastAsia="彩虹粗仿宋" w:hAnsi="宋体" w:cs="Arial" w:hint="eastAsia"/>
          <w:sz w:val="24"/>
        </w:rPr>
        <w:t>人委托）的注册登记机构每个工作日</w:t>
      </w:r>
      <w:r>
        <w:rPr>
          <w:rFonts w:ascii="彩虹粗仿宋" w:eastAsia="彩虹粗仿宋" w:hAnsi="宋体" w:cs="Arial" w:hint="eastAsia"/>
          <w:sz w:val="24"/>
        </w:rPr>
        <w:t>15:00</w:t>
      </w:r>
      <w:r>
        <w:rPr>
          <w:rFonts w:ascii="彩虹粗仿宋" w:eastAsia="彩虹粗仿宋" w:hAnsi="宋体" w:cs="Arial" w:hint="eastAsia"/>
          <w:sz w:val="24"/>
        </w:rPr>
        <w:t>前向基金托管人发送前一开放日上述有关数据，并保证相关数据的准确、完整。</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注册登记机构应通过与基金托管人建立的加密系统发送有关数据</w:t>
      </w:r>
      <w:r>
        <w:rPr>
          <w:rFonts w:ascii="彩虹粗仿宋" w:eastAsia="彩虹粗仿宋" w:hAnsi="宋体" w:cs="Arial" w:hint="eastAsia"/>
          <w:sz w:val="24"/>
        </w:rPr>
        <w:t>(</w:t>
      </w:r>
      <w:r>
        <w:rPr>
          <w:rFonts w:ascii="彩虹粗仿宋" w:eastAsia="彩虹粗仿宋" w:hAnsi="宋体" w:cs="Arial" w:hint="eastAsia"/>
          <w:sz w:val="24"/>
        </w:rPr>
        <w:t>包括电子数据和盖章生效的纸制清算汇总表</w:t>
      </w:r>
      <w:r>
        <w:rPr>
          <w:rFonts w:ascii="彩虹粗仿宋" w:eastAsia="彩虹粗仿宋" w:hAnsi="宋体" w:cs="Arial" w:hint="eastAsia"/>
          <w:sz w:val="24"/>
        </w:rPr>
        <w:t>)</w:t>
      </w:r>
      <w:r>
        <w:rPr>
          <w:rFonts w:ascii="彩虹粗仿宋" w:eastAsia="彩虹粗仿宋" w:hAnsi="宋体" w:cs="Arial" w:hint="eastAsia"/>
          <w:sz w:val="24"/>
        </w:rPr>
        <w:t>，如因各种原因，该系统无法正常发送，双</w:t>
      </w:r>
      <w:r>
        <w:rPr>
          <w:rFonts w:ascii="彩虹粗仿宋" w:eastAsia="彩虹粗仿宋" w:hAnsi="宋体" w:cs="Arial" w:hint="eastAsia"/>
          <w:sz w:val="24"/>
        </w:rPr>
        <w:lastRenderedPageBreak/>
        <w:t>方可协商解决处理方式。基金管理人向基金托管人发送的数据，双方各自按有关规定保存。</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关于清算专用账户的设立和管理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w:t>
      </w:r>
      <w:r>
        <w:rPr>
          <w:rFonts w:ascii="彩虹粗仿宋" w:eastAsia="彩虹粗仿宋" w:hAnsi="宋体" w:cs="Arial" w:hint="eastAsia"/>
          <w:sz w:val="24"/>
        </w:rPr>
        <w:t>金汇划的需要，由基金管理人开立资金清算的专用账户，该账户由注册登记机构管理。</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hint="eastAsia"/>
          <w:sz w:val="24"/>
        </w:rPr>
        <w:t>赎回和分红资金划拨规定</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w:t>
      </w:r>
      <w:r>
        <w:rPr>
          <w:rFonts w:ascii="彩虹粗仿宋" w:eastAsia="彩虹粗仿宋" w:hAnsi="宋体" w:cs="Arial" w:hint="eastAsia"/>
          <w:sz w:val="24"/>
        </w:rPr>
        <w:t>，责任由基金管理人承担，基金托管人不承担垫款义务。</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hint="eastAsia"/>
          <w:sz w:val="24"/>
        </w:rPr>
        <w:t>资金指令</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hint="eastAsia"/>
          <w:sz w:val="24"/>
        </w:rPr>
        <w:t>(T</w:t>
      </w:r>
      <w:r>
        <w:rPr>
          <w:rFonts w:ascii="彩虹粗仿宋" w:eastAsia="彩虹粗仿宋" w:hAnsi="宋体" w:cs="Arial" w:hint="eastAsia"/>
          <w:sz w:val="24"/>
        </w:rPr>
        <w:t>日：资金交收日，下同</w:t>
      </w:r>
      <w:r>
        <w:rPr>
          <w:rFonts w:ascii="彩虹粗仿宋" w:eastAsia="彩虹粗仿宋" w:hAnsi="宋体" w:cs="Arial" w:hint="eastAsia"/>
          <w:sz w:val="24"/>
        </w:rPr>
        <w:t>)</w:t>
      </w:r>
      <w:r>
        <w:rPr>
          <w:rFonts w:ascii="彩虹粗仿宋" w:eastAsia="彩虹粗仿宋" w:hAnsi="宋体" w:cs="Arial" w:hint="eastAsia"/>
          <w:sz w:val="24"/>
        </w:rPr>
        <w:t>按照托管账户应收资金与应付资金的差额来确定托管账户净应收额或净应付额，以此确定资金交收额。当存在托管账户净应收额时，基</w:t>
      </w:r>
      <w:r>
        <w:rPr>
          <w:rFonts w:ascii="彩虹粗仿宋" w:eastAsia="彩虹粗仿宋" w:hAnsi="宋体" w:cs="Arial" w:hint="eastAsia"/>
          <w:sz w:val="24"/>
        </w:rPr>
        <w:t>金管理人应在</w:t>
      </w:r>
      <w:r>
        <w:rPr>
          <w:rFonts w:ascii="彩虹粗仿宋" w:eastAsia="彩虹粗仿宋" w:hAnsi="宋体" w:cs="Arial" w:hint="eastAsia"/>
          <w:sz w:val="24"/>
        </w:rPr>
        <w:t>T</w:t>
      </w:r>
      <w:r>
        <w:rPr>
          <w:rFonts w:ascii="彩虹粗仿宋" w:eastAsia="彩虹粗仿宋" w:hAnsi="宋体" w:cs="Arial" w:hint="eastAsia"/>
          <w:sz w:val="24"/>
        </w:rPr>
        <w:t>日</w:t>
      </w:r>
      <w:r>
        <w:rPr>
          <w:rFonts w:ascii="彩虹粗仿宋" w:eastAsia="彩虹粗仿宋" w:hAnsi="宋体" w:cs="Arial" w:hint="eastAsia"/>
          <w:sz w:val="24"/>
        </w:rPr>
        <w:t>15:00</w:t>
      </w:r>
      <w:r>
        <w:rPr>
          <w:rFonts w:ascii="彩虹粗仿宋" w:eastAsia="彩虹粗仿宋" w:hAnsi="宋体" w:cs="Arial" w:hint="eastAsia"/>
          <w:sz w:val="24"/>
        </w:rPr>
        <w:t>之前从基金清算账户划到基金托管账户；当存在托管账户净应付额时，基金管理人应在</w:t>
      </w:r>
      <w:r>
        <w:rPr>
          <w:rFonts w:ascii="彩虹粗仿宋" w:eastAsia="彩虹粗仿宋" w:hAnsi="宋体" w:cs="Arial" w:hint="eastAsia"/>
          <w:sz w:val="24"/>
        </w:rPr>
        <w:t>T-1</w:t>
      </w:r>
      <w:r>
        <w:rPr>
          <w:rFonts w:ascii="彩虹粗仿宋" w:eastAsia="彩虹粗仿宋" w:hAnsi="宋体" w:cs="Arial" w:hint="eastAsia"/>
          <w:sz w:val="24"/>
        </w:rPr>
        <w:t>日将划款指令发送给基金托管人，基金托管人按基金管理人的划款指令将托管账户净应付额在</w:t>
      </w:r>
      <w:r>
        <w:rPr>
          <w:rFonts w:ascii="彩虹粗仿宋" w:eastAsia="彩虹粗仿宋" w:hAnsi="宋体" w:cs="Arial" w:hint="eastAsia"/>
          <w:sz w:val="24"/>
        </w:rPr>
        <w:t>T</w:t>
      </w:r>
      <w:r>
        <w:rPr>
          <w:rFonts w:ascii="彩虹粗仿宋" w:eastAsia="彩虹粗仿宋" w:hAnsi="宋体" w:cs="Arial" w:hint="eastAsia"/>
          <w:sz w:val="24"/>
        </w:rPr>
        <w:t>日</w:t>
      </w:r>
      <w:r>
        <w:rPr>
          <w:rFonts w:ascii="彩虹粗仿宋" w:eastAsia="彩虹粗仿宋" w:hAnsi="宋体" w:cs="Arial" w:hint="eastAsia"/>
          <w:sz w:val="24"/>
        </w:rPr>
        <w:t>12:00</w:t>
      </w:r>
      <w:r>
        <w:rPr>
          <w:rFonts w:ascii="彩虹粗仿宋" w:eastAsia="彩虹粗仿宋" w:hAnsi="宋体" w:cs="Arial" w:hint="eastAsia"/>
          <w:sz w:val="24"/>
        </w:rPr>
        <w:t>之前划往基金清算账户。</w:t>
      </w:r>
    </w:p>
    <w:p w:rsidR="00E377B2" w:rsidRDefault="00AC2CD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在本基金与基金管理人管理的其它基金开展转换业务之前，基金管理人应函告基金托管人并就相关事宜进行协商。</w:t>
      </w:r>
    </w:p>
    <w:p w:rsidR="00E377B2" w:rsidRDefault="00AC2CD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rsidR="00E377B2" w:rsidRDefault="00AC2CD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本基金开展基金转换业务应按相关法律法规规定及《基金合同》的约定进行公告。</w:t>
      </w:r>
    </w:p>
    <w:p w:rsidR="00E377B2" w:rsidRDefault="00AC2CD0">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基金管理人确定分红方案通知基金托管人，双方核定后</w:t>
      </w:r>
      <w:r>
        <w:rPr>
          <w:rFonts w:ascii="彩虹粗仿宋" w:eastAsia="彩虹粗仿宋" w:hint="eastAsia"/>
          <w:sz w:val="24"/>
          <w:szCs w:val="18"/>
        </w:rPr>
        <w:t>依照《信息披露办法》的有关规定在中国证监会指定媒体上公告并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基金管理人在下达指令时，应给基金托管人留出必需的划款时间。</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本基金投资银行存款前，基金管理人应与存款银行签订具体存款协议，包括但不限于以下内容：。</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lastRenderedPageBreak/>
        <w:t>（</w:t>
      </w:r>
      <w:r>
        <w:rPr>
          <w:rFonts w:ascii="彩虹粗仿宋" w:eastAsia="彩虹粗仿宋" w:hAnsi="宋体" w:cs="Arial" w:hint="eastAsia"/>
          <w:sz w:val="24"/>
        </w:rPr>
        <w:t>1</w:t>
      </w:r>
      <w:r>
        <w:rPr>
          <w:rFonts w:ascii="彩虹粗仿宋" w:eastAsia="彩虹粗仿宋" w:hAnsi="宋体" w:cs="Arial" w:hint="eastAsia"/>
          <w:sz w:val="24"/>
        </w:rPr>
        <w:t>）存款账户必须以本基金名义开立</w:t>
      </w:r>
      <w:r>
        <w:rPr>
          <w:rFonts w:ascii="彩虹粗仿宋" w:eastAsia="彩虹粗仿宋" w:hAnsi="宋体" w:cs="Arial" w:hint="eastAsia"/>
          <w:sz w:val="24"/>
        </w:rPr>
        <w:t>,</w:t>
      </w:r>
      <w:r>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）约定存款证实书的具体传递交接方式及交接期限。</w:t>
      </w:r>
    </w:p>
    <w:p w:rsidR="00E377B2" w:rsidRDefault="00AC2CD0">
      <w:pPr>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）资金划转过程中需要使用存款银行过渡账户的，</w:t>
      </w:r>
      <w:r>
        <w:rPr>
          <w:rFonts w:ascii="彩虹粗仿宋" w:eastAsia="彩虹粗仿宋" w:hAnsi="宋体" w:cs="Arial" w:hint="eastAsia"/>
          <w:sz w:val="24"/>
        </w:rPr>
        <w:t>存款银行须保证资金在过渡账户中不出现滞留，不被挪用。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本基金投资银行存款，必须采用双方认可的方式办理。托管人负责依据管理人提供的银行存款投资合同</w:t>
      </w:r>
      <w:r>
        <w:rPr>
          <w:rFonts w:ascii="彩虹粗仿宋" w:eastAsia="彩虹粗仿宋" w:hAnsi="宋体" w:cs="Arial" w:hint="eastAsia"/>
          <w:sz w:val="24"/>
        </w:rPr>
        <w:t>/</w:t>
      </w:r>
      <w:r>
        <w:rPr>
          <w:rFonts w:ascii="彩虹粗仿宋" w:eastAsia="彩虹粗仿宋" w:hAnsi="宋体" w:cs="Arial" w:hint="eastAsia"/>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3. </w:t>
      </w:r>
      <w:r>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w:t>
      </w:r>
      <w:r>
        <w:rPr>
          <w:rFonts w:ascii="彩虹粗仿宋" w:eastAsia="彩虹粗仿宋" w:hAnsi="宋体" w:cs="Arial" w:hint="eastAsia"/>
          <w:sz w:val="24"/>
        </w:rPr>
        <w:t>支取或部分提前支取，托管银行不承担相应利息损失及逾期支取手续费。</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宋体" w:cs="Arial" w:hint="eastAsia"/>
          <w:sz w:val="24"/>
        </w:rPr>
        <w:t>1</w:t>
      </w:r>
      <w:r>
        <w:rPr>
          <w:rFonts w:ascii="彩虹粗仿宋" w:eastAsia="彩虹粗仿宋" w:hAnsi="宋体" w:cs="Arial" w:hint="eastAsia"/>
          <w:sz w:val="24"/>
        </w:rPr>
        <w:t>）建立风险预警机制，对于实物凭证未送达集中度较高的存款银行，主动发函管理人尽量避免在此类银行进行存款投资；（</w:t>
      </w:r>
      <w:r>
        <w:rPr>
          <w:rFonts w:ascii="彩虹粗仿宋" w:eastAsia="彩虹粗仿宋" w:hAnsi="宋体" w:cs="Arial" w:hint="eastAsia"/>
          <w:sz w:val="24"/>
        </w:rPr>
        <w:t>2</w:t>
      </w:r>
      <w:r>
        <w:rPr>
          <w:rFonts w:ascii="彩虹粗仿宋" w:eastAsia="彩虹粗仿宋" w:hAnsi="宋体" w:cs="Arial" w:hint="eastAsia"/>
          <w:sz w:val="24"/>
        </w:rPr>
        <w:t>）在定期报告中，对未按约定送达托管人保管的实物凭证信息进行规定</w:t>
      </w:r>
      <w:r>
        <w:rPr>
          <w:rFonts w:ascii="彩虹粗仿宋" w:eastAsia="彩虹粗仿宋" w:hAnsi="宋体" w:cs="Arial" w:hint="eastAsia"/>
          <w:sz w:val="24"/>
        </w:rPr>
        <w:t>范围信息披露；（</w:t>
      </w:r>
      <w:r>
        <w:rPr>
          <w:rFonts w:ascii="彩虹粗仿宋" w:eastAsia="彩虹粗仿宋" w:hAnsi="宋体" w:cs="Arial" w:hint="eastAsia"/>
          <w:sz w:val="24"/>
        </w:rPr>
        <w:t>3</w:t>
      </w:r>
      <w:r>
        <w:rPr>
          <w:rFonts w:ascii="彩虹粗仿宋" w:eastAsia="彩虹粗仿宋" w:hAnsi="宋体" w:cs="Arial" w:hint="eastAsia"/>
          <w:sz w:val="24"/>
        </w:rPr>
        <w:t>）未送达实物凭证超过送单截止日后</w:t>
      </w:r>
      <w:r>
        <w:rPr>
          <w:rFonts w:ascii="彩虹粗仿宋" w:eastAsia="彩虹粗仿宋" w:hAnsi="宋体" w:cs="Arial" w:hint="eastAsia"/>
          <w:sz w:val="24"/>
        </w:rPr>
        <w:t>30</w:t>
      </w:r>
      <w:r>
        <w:rPr>
          <w:rFonts w:ascii="彩虹粗仿宋" w:eastAsia="彩虹粗仿宋" w:hAnsi="宋体" w:cs="Arial" w:hint="eastAsia"/>
          <w:sz w:val="24"/>
        </w:rPr>
        <w:t>个工作日，且累计超过</w:t>
      </w:r>
      <w:r>
        <w:rPr>
          <w:rFonts w:ascii="彩虹粗仿宋" w:eastAsia="彩虹粗仿宋" w:hAnsi="宋体" w:cs="Arial" w:hint="eastAsia"/>
          <w:sz w:val="24"/>
        </w:rPr>
        <w:t>3</w:t>
      </w:r>
      <w:r>
        <w:rPr>
          <w:rFonts w:ascii="彩虹粗仿宋" w:eastAsia="彩虹粗仿宋" w:hAnsi="宋体" w:cs="Arial" w:hint="eastAsia"/>
          <w:sz w:val="24"/>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E377B2" w:rsidRDefault="00E377B2">
      <w:pPr>
        <w:adjustRightInd w:val="0"/>
        <w:snapToGrid w:val="0"/>
        <w:ind w:firstLineChars="200" w:firstLine="480"/>
        <w:rPr>
          <w:rFonts w:ascii="彩虹粗仿宋" w:eastAsia="彩虹粗仿宋" w:hAnsi="宋体" w:cs="Arial"/>
          <w:sz w:val="24"/>
        </w:rPr>
      </w:pPr>
    </w:p>
    <w:p w:rsidR="00E377B2" w:rsidRDefault="00AC2CD0">
      <w:pPr>
        <w:pStyle w:val="2"/>
        <w:jc w:val="center"/>
        <w:rPr>
          <w:rFonts w:ascii="彩虹粗仿宋" w:eastAsia="彩虹粗仿宋"/>
          <w:sz w:val="30"/>
        </w:rPr>
      </w:pPr>
      <w:r>
        <w:rPr>
          <w:rFonts w:ascii="彩虹粗仿宋" w:eastAsia="彩虹粗仿宋" w:hint="eastAsia"/>
          <w:sz w:val="30"/>
        </w:rPr>
        <w:t xml:space="preserve"> </w:t>
      </w:r>
      <w:bookmarkStart w:id="86" w:name="_Toc22588"/>
      <w:r>
        <w:rPr>
          <w:rFonts w:ascii="彩虹粗仿宋" w:eastAsia="彩虹粗仿宋" w:hint="eastAsia"/>
          <w:sz w:val="30"/>
        </w:rPr>
        <w:t>八、基金资产净值计算和会计核算</w:t>
      </w:r>
      <w:bookmarkEnd w:id="86"/>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基金资产净值是指基金资产总值减去负债后的金额。基金份额净值是按照每个交易日闭市后，基金资产净值除以当日基金份额的余额数</w:t>
      </w:r>
      <w:r>
        <w:rPr>
          <w:rFonts w:ascii="彩虹粗仿宋" w:eastAsia="彩虹粗仿宋" w:hAnsi="宋体" w:cs="Arial" w:hint="eastAsia"/>
          <w:sz w:val="24"/>
        </w:rPr>
        <w:t>量计算，精确到</w:t>
      </w:r>
      <w:r>
        <w:rPr>
          <w:rFonts w:ascii="彩虹粗仿宋" w:eastAsia="彩虹粗仿宋" w:hAnsi="宋体" w:cs="Arial" w:hint="eastAsia"/>
          <w:sz w:val="24"/>
        </w:rPr>
        <w:t>0.0</w:t>
      </w:r>
      <w:r>
        <w:rPr>
          <w:rFonts w:ascii="彩虹粗仿宋" w:eastAsia="彩虹粗仿宋" w:hAnsi="宋体" w:cs="Arial"/>
          <w:sz w:val="24"/>
        </w:rPr>
        <w:t>0</w:t>
      </w:r>
      <w:r>
        <w:rPr>
          <w:rFonts w:ascii="彩虹粗仿宋" w:eastAsia="彩虹粗仿宋" w:hAnsi="宋体" w:cs="Arial" w:hint="eastAsia"/>
          <w:sz w:val="24"/>
        </w:rPr>
        <w:t>01</w:t>
      </w:r>
      <w:r>
        <w:rPr>
          <w:rFonts w:ascii="彩虹粗仿宋" w:eastAsia="彩虹粗仿宋" w:hAnsi="宋体" w:cs="Arial" w:hint="eastAsia"/>
          <w:sz w:val="24"/>
        </w:rPr>
        <w:t>元，小数点后第五位四舍五入。基金管理人可以设立大额赎回情形下的净值精度应急调整机制。国家另有规定的，从其规定。</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每个交易日计算基金资产净值及基金份额净值，并按规定公告。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377B2" w:rsidRDefault="00AC2CD0">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估值对象</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基金所拥有的债券、资产支持证券和银行存款本息、应收款项、其它投资等资产及负债。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估值方法</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r>
        <w:rPr>
          <w:rFonts w:ascii="彩虹粗仿宋" w:eastAsia="彩虹粗仿宋" w:hAnsi="宋体" w:cs="Arial" w:hint="eastAsia"/>
          <w:sz w:val="24"/>
        </w:rPr>
        <w:t xml:space="preserve"> </w:t>
      </w:r>
      <w:r>
        <w:rPr>
          <w:rFonts w:ascii="彩虹粗仿宋" w:eastAsia="彩虹粗仿宋" w:hAnsi="宋体" w:cs="Arial" w:hint="eastAsia"/>
          <w:sz w:val="24"/>
        </w:rPr>
        <w:t>：</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1</w:t>
      </w:r>
      <w:r>
        <w:rPr>
          <w:rFonts w:ascii="彩虹粗仿宋" w:eastAsia="彩虹粗仿宋" w:hAnsi="宋体" w:cs="Arial" w:hint="eastAsia"/>
          <w:sz w:val="24"/>
        </w:rPr>
        <w:t>）证券交易所上市的有价证券的估值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①在交易所市场上市交易或挂牌转让的不含权固定收益品种，选取估值日第三方估值机构提供的相应品种当日的估值净价进行估值；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②交易所上市交易或挂牌转让的含权固定收益品种，选取估值日第三方估值机构提供的相应品种当日的唯一估值净价或推荐估值净价进行估值；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w:t>
      </w:r>
    </w:p>
    <w:p w:rsidR="00E377B2" w:rsidRDefault="00E377B2">
      <w:pPr>
        <w:adjustRightInd w:val="0"/>
        <w:snapToGrid w:val="0"/>
        <w:ind w:firstLineChars="200" w:firstLine="480"/>
        <w:rPr>
          <w:rFonts w:ascii="彩虹粗仿宋" w:eastAsia="彩虹粗仿宋" w:hAnsi="宋体" w:cs="Arial"/>
          <w:sz w:val="24"/>
        </w:rPr>
      </w:pP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④对交易所上市不存在活跃市场</w:t>
      </w:r>
      <w:r>
        <w:rPr>
          <w:rFonts w:ascii="彩虹粗仿宋" w:eastAsia="彩虹粗仿宋" w:hAnsi="宋体" w:cs="Arial" w:hint="eastAsia"/>
          <w:sz w:val="24"/>
        </w:rPr>
        <w:t>的有价证券，采用估值技术确定公允价值；交易所市场挂牌转让的资产支持证券，采用估值技术确定公允价值。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2</w:t>
      </w:r>
      <w:r>
        <w:rPr>
          <w:rFonts w:ascii="彩虹粗仿宋" w:eastAsia="彩虹粗仿宋" w:hAnsi="宋体" w:cs="Arial" w:hint="eastAsia"/>
          <w:sz w:val="24"/>
        </w:rPr>
        <w:t>）处于未上市期间的有价证券应区分如下情况处理：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①首次公开发行未上市的债券，采用估值技术确定公允价值，在估值技术难以可靠计量公允价值的情况下，按成本估值。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③对在交易所市场发行未上市或未挂牌转让的债券，对存在活跃市场的情</w:t>
      </w:r>
      <w:r>
        <w:rPr>
          <w:rFonts w:ascii="彩虹粗仿宋" w:eastAsia="彩虹粗仿宋" w:hAnsi="宋体" w:cs="Arial" w:hint="eastAsia"/>
          <w:sz w:val="24"/>
        </w:rPr>
        <w:t>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3</w:t>
      </w:r>
      <w:r>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Pr>
          <w:rFonts w:ascii="彩虹粗仿宋" w:eastAsia="彩虹粗仿宋" w:hAnsi="宋体" w:cs="Arial" w:hint="eastAsia"/>
          <w:sz w:val="24"/>
        </w:rPr>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4</w:t>
      </w:r>
      <w:r>
        <w:rPr>
          <w:rFonts w:ascii="彩虹粗仿宋" w:eastAsia="彩虹粗仿宋" w:hAnsi="宋体" w:cs="Arial" w:hint="eastAsia"/>
          <w:sz w:val="24"/>
        </w:rPr>
        <w:t>）同一债券同时在两个或两个以上市场交易的，按债券所处的市场分别估值。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hint="eastAsia"/>
          <w:sz w:val="24"/>
        </w:rPr>
        <w:t>5</w:t>
      </w:r>
      <w:r>
        <w:rPr>
          <w:rFonts w:ascii="彩虹粗仿宋" w:eastAsia="彩虹粗仿宋" w:hAnsi="宋体" w:cs="Arial" w:hint="eastAsia"/>
          <w:sz w:val="24"/>
        </w:rPr>
        <w:t>）存款的估值方法</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）本基金可以采用第三方估值机构按照上述公允价值确定原则提供的估值价格数据。</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）当本基金发生大额申购或赎回情形时，基金管理人可以对本基金采用摆动定价机制，摆动定价机制的相关原理与操作方法应当遵守法律法规及行业自律规范，并在招募说明书更新或相关公告中列示。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）相关法律法规以及监管部门有强制规定的，从其规定。如有新增事项，</w:t>
      </w:r>
      <w:r>
        <w:rPr>
          <w:rFonts w:ascii="彩虹粗仿宋" w:eastAsia="彩虹粗仿宋" w:hAnsi="宋体" w:cs="Arial" w:hint="eastAsia"/>
          <w:sz w:val="24"/>
        </w:rPr>
        <w:lastRenderedPageBreak/>
        <w:t>按国家最新规定估值。</w:t>
      </w:r>
    </w:p>
    <w:p w:rsidR="00E377B2" w:rsidRDefault="00AC2CD0">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w:t>
      </w:r>
      <w:r>
        <w:rPr>
          <w:rFonts w:ascii="彩虹粗仿宋" w:eastAsia="彩虹粗仿宋" w:hAnsi="宋体" w:cs="Arial" w:hint="eastAsia"/>
          <w:sz w:val="24"/>
        </w:rPr>
        <w:t>护基金份额持有人利益时，应立即通知对方，共同查明原因，双方协商解决。</w:t>
      </w:r>
    </w:p>
    <w:p w:rsidR="00E377B2" w:rsidRDefault="00AC2CD0">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377B2" w:rsidRDefault="00AC2CD0">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w:t>
      </w:r>
      <w:r>
        <w:rPr>
          <w:rStyle w:val="read"/>
          <w:rFonts w:ascii="彩虹粗仿宋" w:eastAsia="彩虹粗仿宋" w:hAnsi="宋体" w:cs="Arial" w:hint="eastAsia"/>
          <w:sz w:val="24"/>
        </w:rPr>
        <w:t>特殊情形的处理</w:t>
      </w:r>
    </w:p>
    <w:p w:rsidR="00E377B2" w:rsidRDefault="00AC2CD0">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w:t>
      </w:r>
      <w:r>
        <w:rPr>
          <w:rStyle w:val="read"/>
          <w:rFonts w:ascii="彩虹粗仿宋" w:eastAsia="彩虹粗仿宋" w:hAnsi="宋体" w:cs="Arial"/>
          <w:sz w:val="24"/>
        </w:rPr>
        <w:t>7</w:t>
      </w:r>
      <w:r>
        <w:rPr>
          <w:rStyle w:val="read"/>
          <w:rFonts w:ascii="彩虹粗仿宋" w:eastAsia="彩虹粗仿宋" w:hAnsi="宋体" w:cs="Arial" w:hint="eastAsia"/>
          <w:sz w:val="24"/>
        </w:rPr>
        <w:t>)</w:t>
      </w:r>
      <w:r>
        <w:rPr>
          <w:rStyle w:val="read"/>
          <w:rFonts w:ascii="彩虹粗仿宋" w:eastAsia="彩虹粗仿宋" w:hAnsi="宋体" w:cs="Arial" w:hint="eastAsia"/>
          <w:sz w:val="24"/>
        </w:rPr>
        <w:t>项进行估值时，所造成的误差不作为基金份</w:t>
      </w:r>
      <w:r>
        <w:rPr>
          <w:rStyle w:val="read"/>
          <w:rFonts w:ascii="彩虹粗仿宋" w:eastAsia="彩虹粗仿宋" w:hint="eastAsia"/>
          <w:sz w:val="24"/>
        </w:rPr>
        <w:t>额净值错误处理。</w:t>
      </w:r>
    </w:p>
    <w:p w:rsidR="00E377B2" w:rsidRDefault="00AC2CD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E377B2" w:rsidRDefault="00AC2CD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Pr>
          <w:rStyle w:val="read"/>
          <w:rFonts w:ascii="彩虹粗仿宋" w:eastAsia="彩虹粗仿宋" w:hint="eastAsia"/>
          <w:sz w:val="24"/>
        </w:rPr>
        <w:t>当基金份额净值小数点后</w:t>
      </w:r>
      <w:r>
        <w:rPr>
          <w:rStyle w:val="read"/>
          <w:rFonts w:ascii="彩虹粗仿宋" w:eastAsia="彩虹粗仿宋"/>
          <w:sz w:val="24"/>
        </w:rPr>
        <w:t>4</w:t>
      </w:r>
      <w:r>
        <w:rPr>
          <w:rStyle w:val="read"/>
          <w:rFonts w:ascii="彩虹粗仿宋" w:eastAsia="彩虹粗仿宋" w:hint="eastAsia"/>
          <w:sz w:val="24"/>
        </w:rPr>
        <w:t>位以内</w:t>
      </w:r>
      <w:r>
        <w:rPr>
          <w:rStyle w:val="read"/>
          <w:rFonts w:ascii="彩虹粗仿宋" w:eastAsia="彩虹粗仿宋" w:hint="eastAsia"/>
          <w:sz w:val="24"/>
        </w:rPr>
        <w:t>(</w:t>
      </w:r>
      <w:r>
        <w:rPr>
          <w:rStyle w:val="read"/>
          <w:rFonts w:ascii="彩虹粗仿宋" w:eastAsia="彩虹粗仿宋" w:hint="eastAsia"/>
          <w:sz w:val="24"/>
        </w:rPr>
        <w:t>含第</w:t>
      </w:r>
      <w:r>
        <w:rPr>
          <w:rStyle w:val="read"/>
          <w:rFonts w:ascii="彩虹粗仿宋" w:eastAsia="彩虹粗仿宋"/>
          <w:sz w:val="24"/>
        </w:rPr>
        <w:t>4</w:t>
      </w:r>
      <w:r>
        <w:rPr>
          <w:rStyle w:val="read"/>
          <w:rFonts w:ascii="彩虹粗仿宋" w:eastAsia="彩虹粗仿宋" w:hint="eastAsia"/>
          <w:sz w:val="24"/>
        </w:rPr>
        <w:t>位</w:t>
      </w:r>
      <w:r>
        <w:rPr>
          <w:rStyle w:val="read"/>
          <w:rFonts w:ascii="彩虹粗仿宋" w:eastAsia="彩虹粗仿宋" w:hint="eastAsia"/>
          <w:sz w:val="24"/>
        </w:rPr>
        <w:t>)</w:t>
      </w:r>
      <w:r>
        <w:rPr>
          <w:rStyle w:val="read"/>
          <w:rFonts w:ascii="彩虹粗仿宋" w:eastAsia="彩虹粗仿宋" w:hint="eastAsia"/>
          <w:sz w:val="24"/>
        </w:rPr>
        <w:t>发生差错时，视为基金份额净值错误；基金份额净值出现错误时，基金管理人应当立即予以纠正，通报基金托管人，并采取合理的措施防止损失进一步扩大；错误偏差达到基金份额净值的</w:t>
      </w:r>
      <w:r>
        <w:rPr>
          <w:rStyle w:val="read"/>
          <w:rFonts w:ascii="彩虹粗仿宋" w:eastAsia="彩虹粗仿宋" w:hint="eastAsia"/>
          <w:sz w:val="24"/>
        </w:rPr>
        <w:t>0.25%</w:t>
      </w:r>
      <w:r>
        <w:rPr>
          <w:rStyle w:val="read"/>
          <w:rFonts w:ascii="彩虹粗仿宋" w:eastAsia="彩虹粗仿宋" w:hint="eastAsia"/>
          <w:sz w:val="24"/>
        </w:rPr>
        <w:t>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w:t>
      </w:r>
      <w:r>
        <w:rPr>
          <w:rFonts w:ascii="彩虹粗仿宋" w:eastAsia="彩虹粗仿宋" w:hAnsi="宋体" w:hint="eastAsia"/>
          <w:sz w:val="24"/>
        </w:rPr>
        <w:t>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Pr>
          <w:rStyle w:val="read"/>
          <w:rFonts w:ascii="彩虹粗仿宋" w:eastAsia="彩虹粗仿宋" w:hint="eastAsia"/>
          <w:sz w:val="24"/>
        </w:rPr>
        <w:t>。</w:t>
      </w:r>
    </w:p>
    <w:p w:rsidR="00E377B2" w:rsidRDefault="00AC2CD0">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E377B2" w:rsidRDefault="00AC2CD0">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w:t>
      </w:r>
      <w:r>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w:t>
      </w:r>
      <w:r>
        <w:rPr>
          <w:rFonts w:ascii="彩虹粗仿宋" w:eastAsia="彩虹粗仿宋" w:hAnsi="宋体" w:cs="Arial" w:hint="eastAsia"/>
          <w:sz w:val="24"/>
        </w:rPr>
        <w:t>的损失，由基金管理人负责赔付。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w:t>
      </w:r>
      <w:r>
        <w:rPr>
          <w:rFonts w:ascii="彩虹粗仿宋" w:eastAsia="彩虹粗仿宋" w:hAnsi="宋体" w:cs="Arial" w:hint="eastAsia"/>
          <w:sz w:val="24"/>
        </w:rPr>
        <w:t>金管理人和基金托管人由于各自技术系统设置而产生的净值计算尾差，</w:t>
      </w:r>
      <w:r>
        <w:rPr>
          <w:rFonts w:ascii="彩虹粗仿宋" w:eastAsia="彩虹粗仿宋" w:hAnsi="宋体" w:cs="Arial" w:hint="eastAsia"/>
          <w:sz w:val="24"/>
        </w:rPr>
        <w:lastRenderedPageBreak/>
        <w:t>以基金管理人计算结果为准。</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基金投资所涉及的证券交易市场遇法定节假日或因其他原因暂停营业时；</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因不可抗力致使基金管理人、基金托管人无法准确评估基金资产价值时；</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当特定资产占前一估值日基金资产净值</w:t>
      </w:r>
      <w:r>
        <w:rPr>
          <w:rFonts w:ascii="彩虹粗仿宋" w:eastAsia="彩虹粗仿宋" w:hAnsi="宋体" w:cs="Arial" w:hint="eastAsia"/>
          <w:sz w:val="24"/>
        </w:rPr>
        <w:t xml:space="preserve"> 50%</w:t>
      </w:r>
      <w:r>
        <w:rPr>
          <w:rFonts w:ascii="彩虹粗仿宋" w:eastAsia="彩虹粗仿宋" w:hAnsi="宋体" w:cs="Arial" w:hint="eastAsia"/>
          <w:sz w:val="24"/>
        </w:rPr>
        <w:t>以上的，经与基金托管人协商一致的；</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中国证监会和《基</w:t>
      </w:r>
      <w:r>
        <w:rPr>
          <w:rFonts w:ascii="彩虹粗仿宋" w:eastAsia="彩虹粗仿宋" w:hAnsi="宋体" w:cs="Arial" w:hint="eastAsia"/>
          <w:sz w:val="24"/>
        </w:rPr>
        <w:t>金合同》认定的其他情形。</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（六）基金会计制度</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（七）基金账册的建立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w:t>
      </w:r>
      <w:r>
        <w:rPr>
          <w:rFonts w:ascii="彩虹粗仿宋" w:eastAsia="彩虹粗仿宋" w:hAnsi="宋体" w:cs="Arial" w:hint="eastAsia"/>
          <w:sz w:val="24"/>
        </w:rPr>
        <w:t>的，以基金管理人的账册为准。</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（八）基金财务报表与报告的编制和复核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财务报表的编制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报表复核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财务报表的编制与复核时间安排</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报表的编制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w:t>
      </w:r>
      <w:r>
        <w:rPr>
          <w:rFonts w:ascii="彩虹粗仿宋" w:eastAsia="彩虹粗仿宋" w:hAnsi="宋体" w:cs="Arial" w:hint="eastAsia"/>
          <w:sz w:val="24"/>
        </w:rPr>
        <w:t>5</w:t>
      </w:r>
      <w:r>
        <w:rPr>
          <w:rFonts w:ascii="彩虹粗仿宋" w:eastAsia="彩虹粗仿宋" w:hAnsi="宋体" w:cs="Arial" w:hint="eastAsia"/>
          <w:sz w:val="24"/>
        </w:rPr>
        <w:t>个工作日内完成月度报表的编制；在每个季度结束之日起</w:t>
      </w:r>
      <w:r>
        <w:rPr>
          <w:rFonts w:ascii="彩虹粗仿宋" w:eastAsia="彩虹粗仿宋" w:hAnsi="宋体" w:cs="Arial" w:hint="eastAsia"/>
          <w:sz w:val="24"/>
        </w:rPr>
        <w:t>15</w:t>
      </w:r>
      <w:r>
        <w:rPr>
          <w:rFonts w:ascii="彩虹粗仿宋" w:eastAsia="彩虹粗仿宋" w:hAnsi="宋体" w:cs="Arial" w:hint="eastAsia"/>
          <w:sz w:val="24"/>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报表的复核</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w:t>
      </w:r>
      <w:r>
        <w:rPr>
          <w:rFonts w:ascii="彩虹粗仿宋" w:eastAsia="彩虹粗仿宋" w:hAnsi="宋体" w:cs="Arial" w:hint="eastAsia"/>
          <w:sz w:val="24"/>
        </w:rPr>
        <w:t>调整，调整以国家有关规定为准。</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E377B2" w:rsidRDefault="00AC2CD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E377B2" w:rsidRDefault="00E377B2">
      <w:pPr>
        <w:pStyle w:val="a0"/>
        <w:adjustRightInd w:val="0"/>
        <w:snapToGrid w:val="0"/>
        <w:ind w:firstLineChars="0" w:firstLine="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87" w:name="_Toc4162"/>
      <w:r>
        <w:rPr>
          <w:rFonts w:ascii="彩虹粗仿宋" w:eastAsia="彩虹粗仿宋" w:hint="eastAsia"/>
          <w:sz w:val="30"/>
        </w:rPr>
        <w:t>九、基金收益分配</w:t>
      </w:r>
      <w:bookmarkEnd w:id="87"/>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（一）基金收益分配的原则</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w:t>
      </w:r>
      <w:r>
        <w:rPr>
          <w:rFonts w:hint="eastAsia"/>
        </w:rPr>
        <w:t xml:space="preserve"> </w:t>
      </w:r>
      <w:r>
        <w:rPr>
          <w:rFonts w:ascii="彩虹粗仿宋" w:eastAsia="彩虹粗仿宋" w:hAnsi="宋体" w:cs="Arial" w:hint="eastAsia"/>
          <w:sz w:val="24"/>
        </w:rPr>
        <w:t>由于本基金</w:t>
      </w:r>
      <w:r>
        <w:rPr>
          <w:rFonts w:ascii="彩虹粗仿宋" w:eastAsia="彩虹粗仿宋" w:hAnsi="宋体" w:cs="Arial" w:hint="eastAsia"/>
          <w:sz w:val="24"/>
        </w:rPr>
        <w:t>A</w:t>
      </w:r>
      <w:r>
        <w:rPr>
          <w:rFonts w:ascii="彩虹粗仿宋" w:eastAsia="彩虹粗仿宋" w:hAnsi="宋体" w:cs="Arial" w:hint="eastAsia"/>
          <w:sz w:val="24"/>
        </w:rPr>
        <w:t>类基金份额不收取销售服务费，</w:t>
      </w:r>
      <w:r>
        <w:rPr>
          <w:rFonts w:ascii="彩虹粗仿宋" w:eastAsia="彩虹粗仿宋" w:hAnsi="宋体" w:cs="Arial" w:hint="eastAsia"/>
          <w:sz w:val="24"/>
        </w:rPr>
        <w:t>C</w:t>
      </w:r>
      <w:r>
        <w:rPr>
          <w:rFonts w:ascii="彩虹粗仿宋" w:eastAsia="彩虹粗仿宋" w:hAnsi="宋体" w:cs="Arial" w:hint="eastAsia"/>
          <w:sz w:val="24"/>
        </w:rPr>
        <w:t>类基金份额收取销售服务费，各基金份额类别对应的可分配收益将有所不同，本基金同一基金份额类别内的每一基金份额享有同等分配权；</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在符合有关基金分红条件的前提下，基金收益分配每年至少</w:t>
      </w:r>
      <w:r>
        <w:rPr>
          <w:rFonts w:ascii="彩虹粗仿宋" w:eastAsia="彩虹粗仿宋" w:hAnsi="宋体" w:cs="Arial" w:hint="eastAsia"/>
          <w:sz w:val="24"/>
        </w:rPr>
        <w:t>1</w:t>
      </w:r>
      <w:r>
        <w:rPr>
          <w:rFonts w:ascii="彩虹粗仿宋" w:eastAsia="彩虹粗仿宋" w:hAnsi="宋体" w:cs="Arial" w:hint="eastAsia"/>
          <w:sz w:val="24"/>
        </w:rPr>
        <w:t>次，基金收益分配每年至多</w:t>
      </w:r>
      <w:r>
        <w:rPr>
          <w:rFonts w:ascii="彩虹粗仿宋" w:eastAsia="彩虹粗仿宋" w:hAnsi="宋体" w:cs="Arial" w:hint="eastAsia"/>
          <w:sz w:val="24"/>
        </w:rPr>
        <w:t>12</w:t>
      </w:r>
      <w:r>
        <w:rPr>
          <w:rFonts w:ascii="彩虹粗仿宋" w:eastAsia="彩虹粗仿宋" w:hAnsi="宋体" w:cs="Arial" w:hint="eastAsia"/>
          <w:sz w:val="24"/>
        </w:rPr>
        <w:t>次，基金的收益分配比例以收益分配基准日可供分配利润为基准计算。；若《基金合同》生效不满</w:t>
      </w:r>
      <w:r>
        <w:rPr>
          <w:rFonts w:ascii="彩虹粗仿宋" w:eastAsia="彩虹粗仿宋" w:hAnsi="宋体" w:cs="Arial" w:hint="eastAsia"/>
          <w:sz w:val="24"/>
        </w:rPr>
        <w:t>3</w:t>
      </w:r>
      <w:r>
        <w:rPr>
          <w:rFonts w:ascii="彩虹粗仿宋" w:eastAsia="彩虹粗仿宋" w:hAnsi="宋体" w:cs="Arial" w:hint="eastAsia"/>
          <w:sz w:val="24"/>
        </w:rPr>
        <w:t>个月可不进行收益分配；</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Pr>
          <w:rFonts w:ascii="彩虹粗仿宋" w:eastAsia="彩虹粗仿宋" w:hAnsi="宋体" w:cs="Arial" w:hint="eastAsia"/>
          <w:sz w:val="24"/>
        </w:rPr>
        <w:t>本基金收益分配方式分两种：现金分红与红利再投资，投资者可选择现金红利或将现金红利自动转为对应类别的基金份额进行再投资；若投资者不选择，本基金默</w:t>
      </w:r>
      <w:r>
        <w:rPr>
          <w:rFonts w:ascii="彩虹粗仿宋" w:eastAsia="彩虹粗仿宋" w:hAnsi="宋体" w:cs="Arial" w:hint="eastAsia"/>
          <w:sz w:val="24"/>
        </w:rPr>
        <w:t>认的收益分配方式是现金分红。基金份额持有人可对</w:t>
      </w:r>
      <w:r>
        <w:rPr>
          <w:rFonts w:ascii="彩虹粗仿宋" w:eastAsia="彩虹粗仿宋" w:hAnsi="宋体" w:cs="Arial" w:hint="eastAsia"/>
          <w:sz w:val="24"/>
        </w:rPr>
        <w:t>A</w:t>
      </w:r>
      <w:r>
        <w:rPr>
          <w:rFonts w:ascii="彩虹粗仿宋" w:eastAsia="彩虹粗仿宋" w:hAnsi="宋体" w:cs="Arial" w:hint="eastAsia"/>
          <w:sz w:val="24"/>
        </w:rPr>
        <w:t>类和</w:t>
      </w:r>
      <w:r>
        <w:rPr>
          <w:rFonts w:ascii="彩虹粗仿宋" w:eastAsia="彩虹粗仿宋" w:hAnsi="宋体" w:cs="Arial" w:hint="eastAsia"/>
          <w:sz w:val="24"/>
        </w:rPr>
        <w:t>C</w:t>
      </w:r>
      <w:r>
        <w:rPr>
          <w:rFonts w:ascii="彩虹粗仿宋" w:eastAsia="彩虹粗仿宋" w:hAnsi="宋体" w:cs="Arial" w:hint="eastAsia"/>
          <w:sz w:val="24"/>
        </w:rPr>
        <w:t>类基金份额分别选择不同的分红方式。选择采取红利再投资形式的，同一类别基金份额的分红资金将按权益登记日该类别的基金份额净值转成相应的同一类别的基金份额，红利再投资的份额免收申购费。同一投资人持有的同一类别的基金份额只能选择一种分红方式，如投资人在不同销售机构选择的分红方式不同，则登记机构将以投资人最后一次选择的分红方式为准；</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基金收益分配后基金份额净值不能低于面值；即基金收益分配基准日的各类基金份额的基金份额净值减去相应基金份额每单位基金份额收益分配金</w:t>
      </w:r>
      <w:r>
        <w:rPr>
          <w:rFonts w:ascii="彩虹粗仿宋" w:eastAsia="彩虹粗仿宋" w:hAnsi="宋体" w:cs="Arial" w:hint="eastAsia"/>
          <w:sz w:val="24"/>
        </w:rPr>
        <w:t>额后不能低于面值；</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法律法规或监管机构另有规定的，从其规定。</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w:t>
      </w:r>
      <w:r>
        <w:rPr>
          <w:rFonts w:ascii="彩虹粗仿宋" w:eastAsia="彩虹粗仿宋" w:hAnsi="宋体" w:cs="Arial" w:hint="eastAsia"/>
          <w:sz w:val="24"/>
        </w:rPr>
        <w:t>2</w:t>
      </w:r>
      <w:r>
        <w:rPr>
          <w:rFonts w:ascii="彩虹粗仿宋" w:eastAsia="彩虹粗仿宋" w:hAnsi="宋体" w:cs="Arial" w:hint="eastAsia"/>
          <w:sz w:val="24"/>
        </w:rPr>
        <w:t>日内在指定媒体公告并报中国证监会备案。</w:t>
      </w:r>
      <w:r>
        <w:rPr>
          <w:rFonts w:ascii="彩虹粗仿宋" w:eastAsia="彩虹粗仿宋" w:hint="eastAsia"/>
          <w:sz w:val="24"/>
        </w:rPr>
        <w:t>基金红利发放日距离收益分配基准日（即可供分配利润计算截止日）的时间不得超过</w:t>
      </w:r>
      <w:r>
        <w:rPr>
          <w:rFonts w:ascii="彩虹粗仿宋" w:eastAsia="彩虹粗仿宋" w:hint="eastAsia"/>
          <w:sz w:val="24"/>
        </w:rPr>
        <w:t>15</w:t>
      </w:r>
      <w:r>
        <w:rPr>
          <w:rFonts w:ascii="彩虹粗仿宋" w:eastAsia="彩虹粗仿宋" w:hint="eastAsia"/>
          <w:sz w:val="24"/>
        </w:rPr>
        <w:t>个工作日。</w:t>
      </w:r>
      <w:r>
        <w:rPr>
          <w:rFonts w:ascii="彩虹粗仿宋" w:eastAsia="彩虹粗仿宋" w:hAnsi="宋体" w:cs="Arial" w:hint="eastAsia"/>
          <w:sz w:val="24"/>
        </w:rPr>
        <w:t>基金收益分配方案公告后</w:t>
      </w:r>
      <w:r>
        <w:rPr>
          <w:rFonts w:ascii="彩虹粗仿宋" w:eastAsia="彩虹粗仿宋" w:hAnsi="宋体" w:cs="Arial" w:hint="eastAsia"/>
          <w:sz w:val="24"/>
        </w:rPr>
        <w:t>(</w:t>
      </w:r>
      <w:r>
        <w:rPr>
          <w:rFonts w:ascii="彩虹粗仿宋" w:eastAsia="彩虹粗仿宋" w:hAnsi="宋体" w:cs="Arial" w:hint="eastAsia"/>
          <w:sz w:val="24"/>
        </w:rPr>
        <w:t>依据具体方案的规定</w:t>
      </w:r>
      <w:r>
        <w:rPr>
          <w:rFonts w:ascii="彩虹粗仿宋" w:eastAsia="彩虹粗仿宋" w:hAnsi="宋体" w:cs="Arial" w:hint="eastAsia"/>
          <w:sz w:val="24"/>
        </w:rPr>
        <w:t>)</w:t>
      </w:r>
      <w:r>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w:t>
      </w:r>
      <w:r>
        <w:rPr>
          <w:rFonts w:ascii="彩虹粗仿宋" w:eastAsia="彩虹粗仿宋" w:hAnsi="宋体" w:cs="Arial" w:hint="eastAsia"/>
          <w:sz w:val="24"/>
        </w:rPr>
        <w:t>金红利小于一定金额，不足以支付银行转账或其他手续费用时，基金登记机构可将基金份额持有人的现金红利自动转为基金份额。红利再投资的计算方法，依照《业务规则》执行。</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（三）实施侧袋机制期间的收益分配</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88" w:name="_Toc14755"/>
      <w:r>
        <w:rPr>
          <w:rFonts w:ascii="彩虹粗仿宋" w:eastAsia="彩虹粗仿宋" w:hint="eastAsia"/>
          <w:sz w:val="30"/>
        </w:rPr>
        <w:t>十、基金信息披露</w:t>
      </w:r>
      <w:bookmarkEnd w:id="88"/>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非因基金管理人和基金托管人的原因导致保密信息被披露、泄露或公开；</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基金管理人和基金托管人为遵守和服从法院判决或裁定、仲裁裁决或中国</w:t>
      </w:r>
      <w:r>
        <w:rPr>
          <w:rFonts w:ascii="彩虹粗仿宋" w:eastAsia="彩虹粗仿宋" w:hAnsi="宋体" w:cs="Arial" w:hint="eastAsia"/>
          <w:sz w:val="24"/>
        </w:rPr>
        <w:lastRenderedPageBreak/>
        <w:t>证监会等监管机构的命令、决定所做出的信息披露或公</w:t>
      </w:r>
      <w:r>
        <w:rPr>
          <w:rFonts w:ascii="彩虹粗仿宋" w:eastAsia="彩虹粗仿宋" w:hAnsi="宋体" w:cs="Arial" w:hint="eastAsia"/>
          <w:sz w:val="24"/>
        </w:rPr>
        <w:t>开。</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报告、基金份额持有人大会决议、中国证监会规定的其他信息。基金年度报告中的财务会计报告需经符合《证券法》规定的会计师事务所审计后，方可披露。</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职责</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w:t>
      </w:r>
      <w:r>
        <w:rPr>
          <w:rFonts w:ascii="彩虹粗仿宋" w:eastAsia="彩虹粗仿宋" w:hAnsi="宋体" w:cs="Arial" w:hint="eastAsia"/>
          <w:sz w:val="24"/>
        </w:rPr>
        <w:t>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w:t>
      </w:r>
      <w:r>
        <w:rPr>
          <w:rFonts w:ascii="彩虹粗仿宋" w:eastAsia="彩虹粗仿宋" w:hAnsi="宋体" w:cs="Arial" w:hint="eastAsia"/>
          <w:sz w:val="24"/>
        </w:rPr>
        <w:t>律法规应由基金托管人公开披露的信息，基金托管人将通过指定媒介或基金托管人的互联网网站公开披露。</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不可抗力；</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发生暂停估值的情形；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法律法规、《基金合同》或中国证监会规定的情况。</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信息文本的存放</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w:t>
      </w:r>
      <w:r>
        <w:rPr>
          <w:rFonts w:ascii="彩虹粗仿宋" w:eastAsia="彩虹粗仿宋" w:hAnsi="宋体" w:cs="Arial" w:hint="eastAsia"/>
          <w:sz w:val="24"/>
        </w:rPr>
        <w:t>/</w:t>
      </w:r>
      <w:r>
        <w:rPr>
          <w:rFonts w:ascii="彩虹粗仿宋" w:eastAsia="彩虹粗仿宋" w:hAnsi="宋体" w:cs="Arial" w:hint="eastAsia"/>
          <w:sz w:val="24"/>
        </w:rPr>
        <w:t>基金托管人</w:t>
      </w:r>
      <w:r>
        <w:rPr>
          <w:rFonts w:ascii="彩虹粗仿宋" w:eastAsia="彩虹粗仿宋" w:hAnsi="宋体" w:cs="Arial" w:hint="eastAsia"/>
          <w:sz w:val="24"/>
        </w:rPr>
        <w:t>处，投资者可以免费查阅。在支付工本费后可在合理时间获得上述文件的复制件或复印件。基金管理人和基金托管人应保证文本的内容与所公告的内容完全一致。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rsidR="00E377B2" w:rsidRDefault="00E377B2">
      <w:pPr>
        <w:adjustRightInd w:val="0"/>
        <w:snapToGrid w:val="0"/>
        <w:ind w:firstLineChars="200" w:firstLine="420"/>
      </w:pPr>
    </w:p>
    <w:p w:rsidR="00E377B2" w:rsidRDefault="00AC2CD0">
      <w:pPr>
        <w:pStyle w:val="2"/>
        <w:jc w:val="center"/>
        <w:rPr>
          <w:rFonts w:ascii="彩虹粗仿宋" w:eastAsia="彩虹粗仿宋"/>
          <w:sz w:val="30"/>
        </w:rPr>
      </w:pPr>
      <w:bookmarkStart w:id="89" w:name="_Toc23127"/>
      <w:r>
        <w:rPr>
          <w:rFonts w:ascii="彩虹粗仿宋" w:eastAsia="彩虹粗仿宋" w:hint="eastAsia"/>
          <w:sz w:val="30"/>
        </w:rPr>
        <w:t>十一、基金费用</w:t>
      </w:r>
      <w:bookmarkEnd w:id="89"/>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Pr>
          <w:rFonts w:ascii="彩虹粗仿宋" w:eastAsia="彩虹粗仿宋" w:hAnsi="宋体" w:cs="Arial"/>
          <w:sz w:val="24"/>
        </w:rPr>
        <w:t>0.20</w:t>
      </w:r>
      <w:r>
        <w:rPr>
          <w:rFonts w:ascii="彩虹粗仿宋" w:eastAsia="彩虹粗仿宋" w:hAnsi="宋体" w:cs="Arial" w:hint="eastAsia"/>
          <w:sz w:val="24"/>
        </w:rPr>
        <w:t>%</w:t>
      </w:r>
      <w:r>
        <w:rPr>
          <w:rFonts w:ascii="彩虹粗仿宋" w:eastAsia="彩虹粗仿宋" w:hAnsi="宋体" w:cs="Arial" w:hint="eastAsia"/>
          <w:sz w:val="24"/>
        </w:rPr>
        <w:t>年费率计提。管理费的计算方法如下：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w:t>
      </w:r>
      <w:r>
        <w:rPr>
          <w:rFonts w:ascii="彩虹粗仿宋" w:eastAsia="彩虹粗仿宋" w:hAnsi="宋体" w:cs="Arial" w:hint="eastAsia"/>
          <w:sz w:val="24"/>
        </w:rPr>
        <w:t>E</w:t>
      </w:r>
      <w:r>
        <w:rPr>
          <w:rFonts w:ascii="彩虹粗仿宋" w:eastAsia="彩虹粗仿宋" w:hAnsi="宋体" w:cs="Arial" w:hint="eastAsia"/>
          <w:sz w:val="24"/>
        </w:rPr>
        <w:t>×年管理费率÷当年天数</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w:t>
      </w:r>
      <w:r>
        <w:rPr>
          <w:rFonts w:ascii="彩虹粗仿宋" w:eastAsia="彩虹粗仿宋" w:hAnsi="宋体" w:cs="Arial" w:hint="eastAsia"/>
          <w:sz w:val="24"/>
        </w:rPr>
        <w:t>为每日应计提的基金管理费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w:t>
      </w:r>
      <w:r>
        <w:rPr>
          <w:rFonts w:ascii="彩虹粗仿宋" w:eastAsia="彩虹粗仿宋" w:hAnsi="宋体" w:cs="Arial" w:hint="eastAsia"/>
          <w:sz w:val="24"/>
        </w:rPr>
        <w:t>为前一日的基金资产净值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0.10%</w:t>
      </w:r>
      <w:r>
        <w:rPr>
          <w:rFonts w:ascii="彩虹粗仿宋" w:eastAsia="彩虹粗仿宋" w:hAnsi="宋体" w:cs="Arial" w:hint="eastAsia"/>
          <w:sz w:val="24"/>
        </w:rPr>
        <w:t>年费率计提。托管费的计算方法如下：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w:t>
      </w:r>
      <w:r>
        <w:rPr>
          <w:rFonts w:ascii="彩虹粗仿宋" w:eastAsia="彩虹粗仿宋" w:hAnsi="宋体" w:cs="Arial" w:hint="eastAsia"/>
          <w:sz w:val="24"/>
        </w:rPr>
        <w:t>E</w:t>
      </w:r>
      <w:r>
        <w:rPr>
          <w:rFonts w:ascii="彩虹粗仿宋" w:eastAsia="彩虹粗仿宋" w:hAnsi="宋体" w:cs="Arial" w:hint="eastAsia"/>
          <w:sz w:val="24"/>
        </w:rPr>
        <w:t>×年托管费率÷当年天数</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为每日应计提的基金托管费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w:t>
      </w:r>
      <w:r>
        <w:rPr>
          <w:rFonts w:ascii="彩虹粗仿宋" w:eastAsia="彩虹粗仿宋" w:hAnsi="宋体" w:cs="Arial" w:hint="eastAsia"/>
          <w:sz w:val="24"/>
        </w:rPr>
        <w:t>为前一日的基金资产净值</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（三）基金销售服务费的计提比例和计提方法</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Ansi="宋体" w:cs="Arial" w:hint="eastAsia"/>
          <w:sz w:val="24"/>
        </w:rPr>
        <w:t>A</w:t>
      </w:r>
      <w:r>
        <w:rPr>
          <w:rFonts w:ascii="彩虹粗仿宋" w:eastAsia="彩虹粗仿宋" w:hAnsi="宋体" w:cs="Arial" w:hint="eastAsia"/>
          <w:sz w:val="24"/>
        </w:rPr>
        <w:t>类基金份额不收取销售服务费，</w:t>
      </w:r>
      <w:r>
        <w:rPr>
          <w:rFonts w:ascii="彩虹粗仿宋" w:eastAsia="彩虹粗仿宋" w:hAnsi="宋体" w:cs="Arial" w:hint="eastAsia"/>
          <w:sz w:val="24"/>
        </w:rPr>
        <w:t>C</w:t>
      </w:r>
      <w:r>
        <w:rPr>
          <w:rFonts w:ascii="彩虹粗仿宋" w:eastAsia="彩虹粗仿宋" w:hAnsi="宋体" w:cs="Arial" w:hint="eastAsia"/>
          <w:sz w:val="24"/>
        </w:rPr>
        <w:t>类基金份额的销售服务费年费率为</w:t>
      </w:r>
      <w:r>
        <w:rPr>
          <w:rFonts w:ascii="彩虹粗仿宋" w:eastAsia="彩虹粗仿宋" w:hAnsi="宋体" w:cs="Arial" w:hint="eastAsia"/>
          <w:sz w:val="24"/>
        </w:rPr>
        <w:t>0.30%</w:t>
      </w:r>
      <w:r>
        <w:rPr>
          <w:rFonts w:ascii="彩虹粗仿宋" w:eastAsia="彩虹粗仿宋" w:hAnsi="宋体" w:cs="Arial" w:hint="eastAsia"/>
          <w:sz w:val="24"/>
        </w:rPr>
        <w:t>。本基金销售服务费将专门用于本基金</w:t>
      </w:r>
      <w:r>
        <w:rPr>
          <w:rFonts w:ascii="彩虹粗仿宋" w:eastAsia="彩虹粗仿宋" w:hAnsi="宋体" w:cs="Arial" w:hint="eastAsia"/>
          <w:sz w:val="24"/>
        </w:rPr>
        <w:t>C</w:t>
      </w:r>
      <w:r>
        <w:rPr>
          <w:rFonts w:ascii="彩虹粗仿宋" w:eastAsia="彩虹粗仿宋" w:hAnsi="宋体" w:cs="Arial" w:hint="eastAsia"/>
          <w:sz w:val="24"/>
        </w:rPr>
        <w:t>类基金份额的销售与基金份额持有人服务，基金管理人将在基金年度报告中对该项费用的列支情况作专项说明。</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销售服务费按前一日</w:t>
      </w:r>
      <w:r>
        <w:rPr>
          <w:rFonts w:ascii="彩虹粗仿宋" w:eastAsia="彩虹粗仿宋" w:hAnsi="宋体" w:cs="Arial" w:hint="eastAsia"/>
          <w:sz w:val="24"/>
        </w:rPr>
        <w:t>C</w:t>
      </w:r>
      <w:r>
        <w:rPr>
          <w:rFonts w:ascii="彩虹粗仿宋" w:eastAsia="彩虹粗仿宋" w:hAnsi="宋体" w:cs="Arial" w:hint="eastAsia"/>
          <w:sz w:val="24"/>
        </w:rPr>
        <w:t>类份额</w:t>
      </w:r>
      <w:r>
        <w:rPr>
          <w:rFonts w:ascii="彩虹粗仿宋" w:eastAsia="彩虹粗仿宋" w:hAnsi="宋体" w:cs="Arial" w:hint="eastAsia"/>
          <w:sz w:val="24"/>
        </w:rPr>
        <w:t>基金资产净值的</w:t>
      </w:r>
      <w:r>
        <w:rPr>
          <w:rFonts w:ascii="彩虹粗仿宋" w:eastAsia="彩虹粗仿宋" w:hAnsi="宋体" w:cs="Arial" w:hint="eastAsia"/>
          <w:sz w:val="24"/>
        </w:rPr>
        <w:t>0.30%</w:t>
      </w:r>
      <w:r>
        <w:rPr>
          <w:rFonts w:ascii="彩虹粗仿宋" w:eastAsia="彩虹粗仿宋" w:hAnsi="宋体" w:cs="Arial" w:hint="eastAsia"/>
          <w:sz w:val="24"/>
        </w:rPr>
        <w:t>年费率计提。计算方法如下：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w:t>
      </w:r>
      <w:r>
        <w:rPr>
          <w:rFonts w:ascii="彩虹粗仿宋" w:eastAsia="彩虹粗仿宋" w:hAnsi="宋体" w:cs="Arial" w:hint="eastAsia"/>
          <w:sz w:val="24"/>
        </w:rPr>
        <w:t>E</w:t>
      </w:r>
      <w:r>
        <w:rPr>
          <w:rFonts w:ascii="彩虹粗仿宋" w:eastAsia="彩虹粗仿宋" w:hAnsi="宋体" w:cs="Arial" w:hint="eastAsia"/>
          <w:sz w:val="24"/>
        </w:rPr>
        <w:t>×</w:t>
      </w:r>
      <w:r>
        <w:rPr>
          <w:rFonts w:ascii="彩虹粗仿宋" w:eastAsia="彩虹粗仿宋" w:hAnsi="宋体" w:cs="Arial" w:hint="eastAsia"/>
          <w:sz w:val="24"/>
        </w:rPr>
        <w:t>0.30%</w:t>
      </w:r>
      <w:r>
        <w:rPr>
          <w:rFonts w:ascii="彩虹粗仿宋" w:eastAsia="彩虹粗仿宋" w:hAnsi="宋体" w:cs="Arial" w:hint="eastAsia"/>
          <w:sz w:val="24"/>
        </w:rPr>
        <w:t>÷当年天数</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w:t>
      </w:r>
      <w:r>
        <w:rPr>
          <w:rFonts w:ascii="彩虹粗仿宋" w:eastAsia="彩虹粗仿宋" w:hAnsi="宋体" w:cs="Arial" w:hint="eastAsia"/>
          <w:sz w:val="24"/>
        </w:rPr>
        <w:t>为</w:t>
      </w:r>
      <w:r>
        <w:rPr>
          <w:rFonts w:ascii="彩虹粗仿宋" w:eastAsia="彩虹粗仿宋" w:hAnsi="宋体" w:cs="Arial" w:hint="eastAsia"/>
          <w:sz w:val="24"/>
        </w:rPr>
        <w:t>C</w:t>
      </w:r>
      <w:r>
        <w:rPr>
          <w:rFonts w:ascii="彩虹粗仿宋" w:eastAsia="彩虹粗仿宋" w:hAnsi="宋体" w:cs="Arial" w:hint="eastAsia"/>
          <w:sz w:val="24"/>
        </w:rPr>
        <w:t>类基金份额每日应计提的销售服务费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w:t>
      </w:r>
      <w:r>
        <w:rPr>
          <w:rFonts w:ascii="彩虹粗仿宋" w:eastAsia="彩虹粗仿宋" w:hAnsi="宋体" w:cs="Arial" w:hint="eastAsia"/>
          <w:sz w:val="24"/>
        </w:rPr>
        <w:t>为</w:t>
      </w:r>
      <w:r>
        <w:rPr>
          <w:rFonts w:ascii="彩虹粗仿宋" w:eastAsia="彩虹粗仿宋" w:hAnsi="宋体" w:cs="Arial" w:hint="eastAsia"/>
          <w:sz w:val="24"/>
        </w:rPr>
        <w:t>C</w:t>
      </w:r>
      <w:r>
        <w:rPr>
          <w:rFonts w:ascii="彩虹粗仿宋" w:eastAsia="彩虹粗仿宋" w:hAnsi="宋体" w:cs="Arial" w:hint="eastAsia"/>
          <w:sz w:val="24"/>
        </w:rPr>
        <w:t>类基金份额前一日基金资产净值</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w:t>
      </w:r>
      <w:r>
        <w:rPr>
          <w:rFonts w:ascii="彩虹粗仿宋" w:eastAsia="彩虹粗仿宋" w:hAnsi="宋体" w:cs="Arial" w:hint="eastAsia"/>
          <w:sz w:val="24"/>
        </w:rPr>
        <w:t>；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复核程序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支付方式和时间</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基金管理费、基金托管费和销售服务费每日计提，按月支付。由基金托管人根据与基金管理人核对一致的</w:t>
      </w:r>
      <w:r>
        <w:rPr>
          <w:rFonts w:ascii="彩虹粗仿宋" w:eastAsia="彩虹粗仿宋" w:hAnsi="宋体" w:cs="Arial" w:hint="eastAsia"/>
          <w:sz w:val="24"/>
        </w:rPr>
        <w:t>财务数据，自动在月初</w:t>
      </w:r>
      <w:r>
        <w:rPr>
          <w:rFonts w:ascii="彩虹粗仿宋" w:eastAsia="彩虹粗仿宋" w:hAnsi="宋体" w:cs="Arial" w:hint="eastAsia"/>
          <w:sz w:val="24"/>
        </w:rPr>
        <w:t>5</w:t>
      </w:r>
      <w:r>
        <w:rPr>
          <w:rFonts w:ascii="彩虹粗仿宋" w:eastAsia="彩虹粗仿宋" w:hAnsi="宋体"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在首期支付基金管理费、销售服务费前，基金管理人应向托管人出具正式函件指定基金管理费、销售服务费的收款账户。基金管理人如需要变更此账户，应提前</w:t>
      </w:r>
      <w:r>
        <w:rPr>
          <w:rFonts w:ascii="彩虹粗仿宋" w:eastAsia="彩虹粗仿宋" w:hAnsi="宋体" w:cs="Arial" w:hint="eastAsia"/>
          <w:sz w:val="24"/>
        </w:rPr>
        <w:t>5</w:t>
      </w:r>
      <w:r>
        <w:rPr>
          <w:rFonts w:ascii="彩虹粗仿宋" w:eastAsia="彩虹粗仿宋" w:hAnsi="宋体" w:cs="Arial" w:hint="eastAsia"/>
          <w:sz w:val="24"/>
        </w:rPr>
        <w:t>个工作日向托管人出具书面的收款账户变更通知。</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w:t>
      </w:r>
      <w:r>
        <w:rPr>
          <w:rFonts w:ascii="彩虹粗仿宋" w:eastAsia="彩虹粗仿宋" w:hAnsi="宋体" w:cs="Arial" w:hint="eastAsia"/>
          <w:sz w:val="24"/>
        </w:rPr>
        <w:t>从基金财产中列支费用时，基金托管人可要求基金管理人予以说明解释，如基金管理人无正当理由，基金托管人可拒绝支付。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（八）实施侧袋机制期间的基金费用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0" w:name="_Toc11809"/>
      <w:r>
        <w:rPr>
          <w:rFonts w:ascii="彩虹粗仿宋" w:eastAsia="彩虹粗仿宋" w:hint="eastAsia"/>
          <w:sz w:val="30"/>
        </w:rPr>
        <w:t>十二、基金份额持有人名册的保管</w:t>
      </w:r>
      <w:bookmarkEnd w:id="90"/>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15</w:t>
      </w:r>
      <w:r>
        <w:rPr>
          <w:rFonts w:ascii="彩虹粗仿宋" w:eastAsia="彩虹粗仿宋" w:hAnsi="宋体" w:cs="Arial" w:hint="eastAsia"/>
          <w:sz w:val="24"/>
        </w:rPr>
        <w:t>年。如不能妥善保管，则按相关法规承担责任。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1" w:name="_Toc11200"/>
      <w:r>
        <w:rPr>
          <w:rFonts w:ascii="彩虹粗仿宋" w:eastAsia="彩虹粗仿宋" w:hint="eastAsia"/>
          <w:sz w:val="30"/>
        </w:rPr>
        <w:t>十三、基金有关文件档案的保存</w:t>
      </w:r>
      <w:bookmarkEnd w:id="91"/>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w:t>
      </w:r>
      <w:r>
        <w:rPr>
          <w:rFonts w:ascii="彩虹粗仿宋" w:eastAsia="彩虹粗仿宋" w:hAnsi="宋体" w:cs="Arial" w:hint="eastAsia"/>
          <w:sz w:val="24"/>
        </w:rPr>
        <w:t>档案保存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hint="eastAsia"/>
          <w:sz w:val="24"/>
        </w:rPr>
        <w:t xml:space="preserve">15 </w:t>
      </w:r>
      <w:r>
        <w:rPr>
          <w:rFonts w:ascii="彩虹粗仿宋" w:eastAsia="彩虹粗仿宋" w:hAnsi="宋体" w:cs="Arial" w:hint="eastAsia"/>
          <w:sz w:val="24"/>
        </w:rPr>
        <w:t>年。</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基金管理人签署重大合同文本后，应及时将合同文本正本送达基金托管人处。</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基金管理人应及时将与本基金账务处理、资金划拨等有关的合同、协议传真基金托管人。</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E377B2" w:rsidRDefault="00AC2CD0">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w:t>
      </w:r>
      <w:r>
        <w:rPr>
          <w:rFonts w:ascii="彩虹粗仿宋" w:eastAsia="彩虹粗仿宋" w:hAnsi="宋体" w:cs="Arial" w:hint="eastAsia"/>
          <w:sz w:val="24"/>
        </w:rPr>
        <w:t>/</w:t>
      </w:r>
      <w:r>
        <w:rPr>
          <w:rFonts w:ascii="彩虹粗仿宋" w:eastAsia="彩虹粗仿宋" w:hAnsi="宋体" w:cs="Arial" w:hint="eastAsia"/>
          <w:sz w:val="24"/>
        </w:rPr>
        <w:t>基金托管人发生变更，未变更的一方有义务协助变更后的接任人接收相应文件。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Pr>
          <w:rFonts w:ascii="彩虹粗仿宋" w:eastAsia="彩虹粗仿宋" w:hAnsi="宋体" w:cs="Arial" w:hint="eastAsia"/>
          <w:sz w:val="24"/>
        </w:rPr>
        <w:t>年。</w:t>
      </w:r>
    </w:p>
    <w:p w:rsidR="00E377B2" w:rsidRDefault="00E377B2">
      <w:pPr>
        <w:adjustRightInd w:val="0"/>
        <w:snapToGrid w:val="0"/>
        <w:rPr>
          <w:rFonts w:ascii="彩虹粗仿宋" w:eastAsia="彩虹粗仿宋"/>
          <w:sz w:val="30"/>
          <w:szCs w:val="30"/>
        </w:rPr>
      </w:pPr>
    </w:p>
    <w:p w:rsidR="00E377B2" w:rsidRDefault="00AC2CD0">
      <w:pPr>
        <w:pStyle w:val="2"/>
        <w:jc w:val="center"/>
        <w:rPr>
          <w:rFonts w:ascii="彩虹粗仿宋" w:eastAsia="彩虹粗仿宋"/>
          <w:sz w:val="30"/>
        </w:rPr>
      </w:pPr>
      <w:bookmarkStart w:id="92" w:name="_Toc14304"/>
      <w:r>
        <w:rPr>
          <w:rFonts w:ascii="彩虹粗仿宋" w:eastAsia="彩虹粗仿宋" w:hint="eastAsia"/>
          <w:sz w:val="30"/>
        </w:rPr>
        <w:t>十四、基金管理人和基金托管人的更换</w:t>
      </w:r>
      <w:bookmarkEnd w:id="92"/>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基金管理人职责终止的情形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被依法取消基金管理资格；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依法解散、被依法撤销或被依法宣告破产；</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Pr>
          <w:rFonts w:ascii="彩虹粗仿宋" w:eastAsia="彩虹粗仿宋" w:hAnsi="宋体" w:cs="Arial" w:hint="eastAsia"/>
          <w:sz w:val="24"/>
        </w:rPr>
        <w:t>被基金份额持有人大会解任；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法律法规及中国证监会规定的和《基金合同》约定的其他情形。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基金管理人的更换程序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提名：新任基金管理人由基金托管人</w:t>
      </w:r>
      <w:r>
        <w:rPr>
          <w:rFonts w:ascii="彩虹粗仿宋" w:eastAsia="彩虹粗仿宋" w:hint="eastAsia"/>
          <w:sz w:val="24"/>
        </w:rPr>
        <w:t>或由单独或合计持有</w:t>
      </w:r>
      <w:r>
        <w:rPr>
          <w:rFonts w:ascii="彩虹粗仿宋" w:eastAsia="彩虹粗仿宋" w:hint="eastAsia"/>
          <w:sz w:val="24"/>
        </w:rPr>
        <w:t>10%</w:t>
      </w:r>
      <w:r>
        <w:rPr>
          <w:rFonts w:ascii="彩虹粗仿宋" w:eastAsia="彩虹粗仿宋" w:hint="eastAsia"/>
          <w:sz w:val="24"/>
        </w:rPr>
        <w:t>以上</w:t>
      </w:r>
      <w:r>
        <w:rPr>
          <w:rFonts w:ascii="彩虹粗仿宋" w:eastAsia="彩虹粗仿宋" w:hint="eastAsia"/>
          <w:sz w:val="24"/>
        </w:rPr>
        <w:t>(</w:t>
      </w:r>
      <w:r>
        <w:rPr>
          <w:rFonts w:ascii="彩虹粗仿宋" w:eastAsia="彩虹粗仿宋" w:hint="eastAsia"/>
          <w:sz w:val="24"/>
        </w:rPr>
        <w:t>含</w:t>
      </w:r>
      <w:r>
        <w:rPr>
          <w:rFonts w:ascii="彩虹粗仿宋" w:eastAsia="彩虹粗仿宋" w:hint="eastAsia"/>
          <w:sz w:val="24"/>
        </w:rPr>
        <w:t>10%)</w:t>
      </w:r>
      <w:r>
        <w:rPr>
          <w:rFonts w:ascii="彩虹粗仿宋" w:eastAsia="彩虹粗仿宋" w:hint="eastAsia"/>
          <w:sz w:val="24"/>
        </w:rPr>
        <w:t>基金份额的基金份额持有人</w:t>
      </w:r>
      <w:r>
        <w:rPr>
          <w:rFonts w:ascii="彩虹粗仿宋" w:eastAsia="彩虹粗仿宋" w:hAnsi="宋体" w:cs="Arial" w:hint="eastAsia"/>
          <w:sz w:val="24"/>
        </w:rPr>
        <w:t>提名；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决议：基金份额持有人大会在基金管理人职责终止后</w:t>
      </w:r>
      <w:r>
        <w:rPr>
          <w:rFonts w:ascii="彩虹粗仿宋" w:eastAsia="彩虹粗仿宋" w:hAnsi="宋体" w:cs="Arial" w:hint="eastAsia"/>
          <w:sz w:val="24"/>
        </w:rPr>
        <w:t>6</w:t>
      </w:r>
      <w:r>
        <w:rPr>
          <w:rFonts w:ascii="彩虹粗仿宋" w:eastAsia="彩虹粗仿宋" w:hAnsi="宋体" w:cs="Arial" w:hint="eastAsia"/>
          <w:sz w:val="24"/>
        </w:rPr>
        <w:t>个月内对被提名的基金管理人形成决议，该决议需经参加大会的基金份额持有人所持表决权的三分之二以上</w:t>
      </w:r>
      <w:r>
        <w:rPr>
          <w:rFonts w:ascii="彩虹粗仿宋" w:eastAsia="彩虹粗仿宋" w:hAnsi="宋体" w:cs="Arial" w:hint="eastAsia"/>
          <w:sz w:val="24"/>
        </w:rPr>
        <w:t>(</w:t>
      </w:r>
      <w:r>
        <w:rPr>
          <w:rFonts w:ascii="彩虹粗仿宋" w:eastAsia="彩虹粗仿宋" w:hAnsi="宋体" w:cs="Arial" w:hint="eastAsia"/>
          <w:sz w:val="24"/>
        </w:rPr>
        <w:t>含三分之二</w:t>
      </w:r>
      <w:r>
        <w:rPr>
          <w:rFonts w:ascii="彩虹粗仿宋" w:eastAsia="彩虹粗仿宋" w:hAnsi="宋体" w:cs="Arial" w:hint="eastAsia"/>
          <w:sz w:val="24"/>
        </w:rPr>
        <w:t>)</w:t>
      </w:r>
      <w:r>
        <w:rPr>
          <w:rFonts w:ascii="彩虹粗仿宋" w:eastAsia="彩虹粗仿宋" w:hAnsi="宋体" w:cs="Arial" w:hint="eastAsia"/>
          <w:sz w:val="24"/>
        </w:rPr>
        <w:t>表决通过，决议自表决通过之日起生效；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临时基金管理人：新任基金管理人产生之前，由中国证监会指定临时基金管理人；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备案：基金份额持有人大会选任基金管理人的决议须报中国证监会备案；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公告：基金管理人更换后，由基金托管人在更换基</w:t>
      </w:r>
      <w:r>
        <w:rPr>
          <w:rFonts w:ascii="彩虹粗仿宋" w:eastAsia="彩虹粗仿宋" w:hAnsi="宋体" w:cs="Arial" w:hint="eastAsia"/>
          <w:sz w:val="24"/>
        </w:rPr>
        <w:t>金管理人的基金份额持有人大会决议生效后</w:t>
      </w:r>
      <w:r>
        <w:rPr>
          <w:rFonts w:ascii="彩虹粗仿宋" w:eastAsia="彩虹粗仿宋" w:hAnsi="宋体" w:cs="Arial" w:hint="eastAsia"/>
          <w:sz w:val="24"/>
        </w:rPr>
        <w:t>2</w:t>
      </w:r>
      <w:r>
        <w:rPr>
          <w:rFonts w:ascii="彩虹粗仿宋" w:eastAsia="彩虹粗仿宋" w:hAnsi="宋体" w:cs="Arial" w:hint="eastAsia"/>
          <w:sz w:val="24"/>
        </w:rPr>
        <w:t>个工作日内在指定媒介公告；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w:t>
      </w:r>
    </w:p>
    <w:p w:rsidR="00E377B2" w:rsidRDefault="00AC2CD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w:t>
      </w:r>
      <w:r>
        <w:rPr>
          <w:rFonts w:ascii="彩虹粗仿宋" w:eastAsia="彩虹粗仿宋" w:hAnsi="宋体" w:cs="Arial" w:hint="eastAsia"/>
          <w:sz w:val="24"/>
        </w:rPr>
        <w:t>基金名称变更：基金管理人更换后，如果原任或新任基金管理人要求</w:t>
      </w:r>
      <w:r>
        <w:rPr>
          <w:rFonts w:ascii="彩虹粗仿宋" w:eastAsia="彩虹粗仿宋" w:hAnsi="宋体" w:cs="Arial" w:hint="eastAsia"/>
          <w:sz w:val="24"/>
        </w:rPr>
        <w:t>，应按其要求替换或删除基金名称中与原基金管理人有关的名称字样。</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基金托管人职责终止的情形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被依法取消基金托管资格；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依法解散、被依法撤销或被依法宣告破产；</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被基金份额持有人大会解任；</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法律法规及中国证监会规定的和《基金合同》约定的其他情形。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基金托管人的更换程序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提名：新任基金托管人由基金管理人</w:t>
      </w:r>
      <w:r>
        <w:rPr>
          <w:rFonts w:ascii="彩虹粗仿宋" w:eastAsia="彩虹粗仿宋" w:hint="eastAsia"/>
          <w:sz w:val="24"/>
        </w:rPr>
        <w:t>或由单独或合计持有</w:t>
      </w:r>
      <w:r>
        <w:rPr>
          <w:rFonts w:ascii="彩虹粗仿宋" w:eastAsia="彩虹粗仿宋" w:hint="eastAsia"/>
          <w:sz w:val="24"/>
        </w:rPr>
        <w:t>10%</w:t>
      </w:r>
      <w:r>
        <w:rPr>
          <w:rFonts w:ascii="彩虹粗仿宋" w:eastAsia="彩虹粗仿宋" w:hint="eastAsia"/>
          <w:sz w:val="24"/>
        </w:rPr>
        <w:t>以上</w:t>
      </w:r>
      <w:r>
        <w:rPr>
          <w:rFonts w:ascii="彩虹粗仿宋" w:eastAsia="彩虹粗仿宋" w:hint="eastAsia"/>
          <w:sz w:val="24"/>
        </w:rPr>
        <w:t>(</w:t>
      </w:r>
      <w:r>
        <w:rPr>
          <w:rFonts w:ascii="彩虹粗仿宋" w:eastAsia="彩虹粗仿宋" w:hint="eastAsia"/>
          <w:sz w:val="24"/>
        </w:rPr>
        <w:t>含</w:t>
      </w:r>
      <w:r>
        <w:rPr>
          <w:rFonts w:ascii="彩虹粗仿宋" w:eastAsia="彩虹粗仿宋" w:hint="eastAsia"/>
          <w:sz w:val="24"/>
        </w:rPr>
        <w:t>10%)</w:t>
      </w:r>
      <w:r>
        <w:rPr>
          <w:rFonts w:ascii="彩虹粗仿宋" w:eastAsia="彩虹粗仿宋" w:hint="eastAsia"/>
          <w:sz w:val="24"/>
        </w:rPr>
        <w:t>基金份额的基金份额持有人</w:t>
      </w:r>
      <w:r>
        <w:rPr>
          <w:rFonts w:ascii="彩虹粗仿宋" w:eastAsia="彩虹粗仿宋" w:hAnsi="宋体" w:cs="Arial" w:hint="eastAsia"/>
          <w:sz w:val="24"/>
        </w:rPr>
        <w:t>提名；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决议：基金份额持有人大会在基金托管人职责终止后</w:t>
      </w:r>
      <w:r>
        <w:rPr>
          <w:rFonts w:ascii="彩虹粗仿宋" w:eastAsia="彩虹粗仿宋" w:hAnsi="宋体" w:cs="Arial" w:hint="eastAsia"/>
          <w:sz w:val="24"/>
        </w:rPr>
        <w:t>6</w:t>
      </w:r>
      <w:r>
        <w:rPr>
          <w:rFonts w:ascii="彩虹粗仿宋" w:eastAsia="彩虹粗仿宋" w:hAnsi="宋体" w:cs="Arial" w:hint="eastAsia"/>
          <w:sz w:val="24"/>
        </w:rPr>
        <w:t>个月内对被提名的基金托管人形成决议，该决议需经参加大会的基金份额持有人所持表决权的三分之二以上</w:t>
      </w:r>
      <w:r>
        <w:rPr>
          <w:rFonts w:ascii="彩虹粗仿宋" w:eastAsia="彩虹粗仿宋" w:hAnsi="宋体" w:cs="Arial" w:hint="eastAsia"/>
          <w:sz w:val="24"/>
        </w:rPr>
        <w:t>(</w:t>
      </w:r>
      <w:r>
        <w:rPr>
          <w:rFonts w:ascii="彩虹粗仿宋" w:eastAsia="彩虹粗仿宋" w:hAnsi="宋体" w:cs="Arial" w:hint="eastAsia"/>
          <w:sz w:val="24"/>
        </w:rPr>
        <w:t>含三分之二</w:t>
      </w:r>
      <w:r>
        <w:rPr>
          <w:rFonts w:ascii="彩虹粗仿宋" w:eastAsia="彩虹粗仿宋" w:hAnsi="宋体" w:cs="Arial" w:hint="eastAsia"/>
          <w:sz w:val="24"/>
        </w:rPr>
        <w:t>)</w:t>
      </w:r>
      <w:r>
        <w:rPr>
          <w:rFonts w:ascii="彩虹粗仿宋" w:eastAsia="彩虹粗仿宋" w:hAnsi="宋体" w:cs="Arial" w:hint="eastAsia"/>
          <w:sz w:val="24"/>
        </w:rPr>
        <w:t>表决通过，决议自表决通过之日起生效；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临时基金托管人：新任基金托管人产生之前，由中国证监会指定临时基金托管人；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备案：基金份额持有人大会更换基金托管人的决议须报中国证监会备案；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公告：基金托管人更换后，由基金管理人在更换基金托管人的基金份额持有人大会决议生效后</w:t>
      </w:r>
      <w:r>
        <w:rPr>
          <w:rFonts w:ascii="彩虹粗仿宋" w:eastAsia="彩虹粗仿宋" w:hAnsi="宋体" w:cs="Arial" w:hint="eastAsia"/>
          <w:sz w:val="24"/>
        </w:rPr>
        <w:t xml:space="preserve"> 2</w:t>
      </w:r>
      <w:r>
        <w:rPr>
          <w:rFonts w:ascii="彩虹粗仿宋" w:eastAsia="彩虹粗仿宋" w:hAnsi="宋体" w:cs="Arial" w:hint="eastAsia"/>
          <w:sz w:val="24"/>
        </w:rPr>
        <w:t>个工作日内在指定媒介公告；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交接：基金托管人职责终止的，应当妥</w:t>
      </w:r>
      <w:r>
        <w:rPr>
          <w:rFonts w:ascii="彩虹粗仿宋" w:eastAsia="彩虹粗仿宋" w:hAnsi="宋体" w:cs="Arial" w:hint="eastAsia"/>
          <w:sz w:val="24"/>
        </w:rPr>
        <w:t>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(7)</w:t>
      </w:r>
      <w:r>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提名：如果基金管理人和基金托管人同时更换，由单独或合计持有基金总份额</w:t>
      </w:r>
      <w:r>
        <w:rPr>
          <w:rFonts w:ascii="彩虹粗仿宋" w:eastAsia="彩虹粗仿宋" w:hAnsi="宋体" w:cs="Arial" w:hint="eastAsia"/>
          <w:sz w:val="24"/>
        </w:rPr>
        <w:t>10%</w:t>
      </w:r>
      <w:r>
        <w:rPr>
          <w:rFonts w:ascii="彩虹粗仿宋" w:eastAsia="彩虹粗仿宋" w:hAnsi="宋体" w:cs="Arial" w:hint="eastAsia"/>
          <w:sz w:val="24"/>
        </w:rPr>
        <w:t>以上</w:t>
      </w:r>
      <w:r>
        <w:rPr>
          <w:rFonts w:ascii="彩虹粗仿宋" w:eastAsia="彩虹粗仿宋" w:hAnsi="宋体" w:cs="Arial" w:hint="eastAsia"/>
          <w:sz w:val="24"/>
        </w:rPr>
        <w:t>(</w:t>
      </w:r>
      <w:r>
        <w:rPr>
          <w:rFonts w:ascii="彩虹粗仿宋" w:eastAsia="彩虹粗仿宋" w:hAnsi="宋体" w:cs="Arial" w:hint="eastAsia"/>
          <w:sz w:val="24"/>
        </w:rPr>
        <w:t>含</w:t>
      </w:r>
      <w:r>
        <w:rPr>
          <w:rFonts w:ascii="彩虹粗仿宋" w:eastAsia="彩虹粗仿宋" w:hAnsi="宋体" w:cs="Arial" w:hint="eastAsia"/>
          <w:sz w:val="24"/>
        </w:rPr>
        <w:t>10%)</w:t>
      </w:r>
      <w:r>
        <w:rPr>
          <w:rFonts w:ascii="彩虹粗仿宋" w:eastAsia="彩虹粗仿宋" w:hAnsi="宋体" w:cs="Arial" w:hint="eastAsia"/>
          <w:sz w:val="24"/>
        </w:rPr>
        <w:t>的基金份额持有人提名新的基金管理人和基金托管人；</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基金管理人和基金托管人的更换分别按上述程序进行；</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公告：新任基金管理人和新任基金托管人应在更换基金管理人和基金托管人的基金份额持有人大会决议生效后</w:t>
      </w:r>
      <w:r>
        <w:rPr>
          <w:rFonts w:ascii="彩虹粗仿宋" w:eastAsia="彩虹粗仿宋" w:hAnsi="宋体" w:cs="Arial" w:hint="eastAsia"/>
          <w:sz w:val="24"/>
        </w:rPr>
        <w:t>2</w:t>
      </w:r>
      <w:r>
        <w:rPr>
          <w:rFonts w:ascii="彩虹粗仿宋" w:eastAsia="彩虹粗仿宋" w:hAnsi="宋体" w:cs="Arial" w:hint="eastAsia"/>
          <w:sz w:val="24"/>
        </w:rPr>
        <w:t>日内在指定媒介上联合公告。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3" w:name="_Toc29879"/>
      <w:r>
        <w:rPr>
          <w:rFonts w:ascii="彩虹粗仿宋" w:eastAsia="彩虹粗仿宋" w:hint="eastAsia"/>
          <w:sz w:val="30"/>
        </w:rPr>
        <w:t>十五、禁止行为</w:t>
      </w:r>
      <w:bookmarkEnd w:id="93"/>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w:t>
      </w:r>
      <w:r>
        <w:rPr>
          <w:rFonts w:ascii="彩虹粗仿宋" w:eastAsia="彩虹粗仿宋" w:hAnsi="宋体" w:cs="Arial" w:hint="eastAsia"/>
          <w:sz w:val="24"/>
        </w:rPr>
        <w:t>的划拨指令，或违规向基金托管人发出指令。</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w:t>
      </w:r>
      <w:r>
        <w:rPr>
          <w:rFonts w:ascii="彩虹粗仿宋" w:eastAsia="彩虹粗仿宋" w:hAnsi="宋体" w:cs="Arial" w:hint="eastAsia"/>
          <w:sz w:val="24"/>
        </w:rPr>
        <w:t xml:space="preserve">, </w:t>
      </w:r>
      <w:r>
        <w:rPr>
          <w:rFonts w:ascii="彩虹粗仿宋" w:eastAsia="彩虹粗仿宋" w:hAnsi="宋体" w:cs="Arial" w:hint="eastAsia"/>
          <w:sz w:val="24"/>
        </w:rPr>
        <w:t>其高级管理人员和其他从业人员相互兼职。</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w:t>
      </w:r>
      <w:r>
        <w:rPr>
          <w:rFonts w:ascii="彩虹粗仿宋" w:eastAsia="彩虹粗仿宋" w:hAnsi="宋体" w:cs="Arial" w:hint="eastAsia"/>
          <w:sz w:val="24"/>
        </w:rPr>
        <w:t>1.</w:t>
      </w:r>
      <w:r>
        <w:rPr>
          <w:rFonts w:ascii="彩虹粗仿宋" w:eastAsia="彩虹粗仿宋" w:hAnsi="宋体" w:cs="Arial" w:hint="eastAsia"/>
          <w:sz w:val="24"/>
        </w:rPr>
        <w:t>承销证券；</w:t>
      </w:r>
      <w:r>
        <w:rPr>
          <w:rFonts w:ascii="彩虹粗仿宋" w:eastAsia="彩虹粗仿宋" w:hAnsi="宋体" w:cs="Arial" w:hint="eastAsia"/>
          <w:sz w:val="24"/>
        </w:rPr>
        <w:t>2.</w:t>
      </w:r>
      <w:r>
        <w:rPr>
          <w:rFonts w:ascii="彩虹粗仿宋" w:eastAsia="彩虹粗仿宋" w:hAnsi="宋体" w:cs="Arial" w:hint="eastAsia"/>
          <w:sz w:val="24"/>
        </w:rPr>
        <w:t>违反规定向他人贷款或者提供担保；</w:t>
      </w:r>
      <w:r>
        <w:rPr>
          <w:rFonts w:ascii="彩虹粗仿宋" w:eastAsia="彩虹粗仿宋" w:hAnsi="宋体" w:cs="Arial" w:hint="eastAsia"/>
          <w:sz w:val="24"/>
        </w:rPr>
        <w:t>3.</w:t>
      </w:r>
      <w:r>
        <w:rPr>
          <w:rFonts w:ascii="彩虹粗仿宋" w:eastAsia="彩虹粗仿宋" w:hAnsi="宋体" w:cs="Arial" w:hint="eastAsia"/>
          <w:sz w:val="24"/>
        </w:rPr>
        <w:t>从事承担无限责任的投资；</w:t>
      </w:r>
      <w:r>
        <w:rPr>
          <w:rFonts w:ascii="彩虹粗仿宋" w:eastAsia="彩虹粗仿宋" w:hAnsi="宋体" w:cs="Arial" w:hint="eastAsia"/>
          <w:sz w:val="24"/>
        </w:rPr>
        <w:t>4.</w:t>
      </w:r>
      <w:r>
        <w:rPr>
          <w:rFonts w:ascii="彩虹粗仿宋" w:eastAsia="彩虹粗仿宋" w:hAnsi="宋体" w:cs="Arial" w:hint="eastAsia"/>
          <w:sz w:val="24"/>
        </w:rPr>
        <w:t>买卖其他基金份额，但是国务院证券监督管理机构另有规定的除外；</w:t>
      </w:r>
      <w:r>
        <w:rPr>
          <w:rFonts w:ascii="彩虹粗仿宋" w:eastAsia="彩虹粗仿宋" w:hAnsi="宋体" w:cs="Arial" w:hint="eastAsia"/>
          <w:sz w:val="24"/>
        </w:rPr>
        <w:t>5.</w:t>
      </w:r>
      <w:r>
        <w:rPr>
          <w:rFonts w:ascii="彩虹粗仿宋" w:eastAsia="彩虹粗仿宋" w:hAnsi="宋体" w:cs="Arial" w:hint="eastAsia"/>
          <w:sz w:val="24"/>
        </w:rPr>
        <w:t>向其基金管理人、基金托管人出资；</w:t>
      </w:r>
      <w:r>
        <w:rPr>
          <w:rFonts w:ascii="彩虹粗仿宋" w:eastAsia="彩虹粗仿宋" w:hAnsi="宋体" w:cs="Arial" w:hint="eastAsia"/>
          <w:sz w:val="24"/>
        </w:rPr>
        <w:t>6.</w:t>
      </w:r>
      <w:r>
        <w:rPr>
          <w:rFonts w:ascii="彩虹粗仿宋" w:eastAsia="彩虹粗仿宋" w:hAnsi="宋体" w:cs="Arial" w:hint="eastAsia"/>
          <w:sz w:val="24"/>
        </w:rPr>
        <w:t>从事内幕交易、操纵证券交易价格及其他不正当的证</w:t>
      </w:r>
      <w:r>
        <w:rPr>
          <w:rFonts w:ascii="彩虹粗仿宋" w:eastAsia="彩虹粗仿宋" w:hAnsi="宋体" w:cs="Arial" w:hint="eastAsia"/>
          <w:sz w:val="24"/>
        </w:rPr>
        <w:t>券交易活动；</w:t>
      </w:r>
      <w:r>
        <w:rPr>
          <w:rFonts w:ascii="彩虹粗仿宋" w:eastAsia="彩虹粗仿宋" w:hAnsi="宋体" w:cs="Arial" w:hint="eastAsia"/>
          <w:sz w:val="24"/>
        </w:rPr>
        <w:t>7.</w:t>
      </w:r>
      <w:r>
        <w:rPr>
          <w:rFonts w:ascii="彩虹粗仿宋" w:eastAsia="彩虹粗仿宋" w:hAnsi="宋体" w:cs="Arial" w:hint="eastAsia"/>
          <w:sz w:val="24"/>
        </w:rPr>
        <w:t>法律、行政法规和国务院证券监督管理机构规定禁止的其他活动。法律法规或监管部门取消上述限制，如适用于本基金，则本基金投资不再受相关限制。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rsidR="00E377B2" w:rsidRDefault="00E377B2">
      <w:pPr>
        <w:adjustRightInd w:val="0"/>
        <w:snapToGrid w:val="0"/>
        <w:rPr>
          <w:rFonts w:ascii="彩虹粗仿宋" w:eastAsia="彩虹粗仿宋"/>
          <w:sz w:val="30"/>
          <w:szCs w:val="30"/>
        </w:rPr>
      </w:pPr>
    </w:p>
    <w:p w:rsidR="00E377B2" w:rsidRDefault="00AC2CD0">
      <w:pPr>
        <w:pStyle w:val="2"/>
        <w:jc w:val="center"/>
        <w:rPr>
          <w:rFonts w:ascii="彩虹粗仿宋" w:eastAsia="彩虹粗仿宋"/>
          <w:sz w:val="30"/>
        </w:rPr>
      </w:pPr>
      <w:bookmarkStart w:id="94" w:name="_Toc2561"/>
      <w:r>
        <w:rPr>
          <w:rFonts w:ascii="彩虹粗仿宋" w:eastAsia="彩虹粗仿宋" w:hint="eastAsia"/>
          <w:sz w:val="30"/>
        </w:rPr>
        <w:lastRenderedPageBreak/>
        <w:t>十六、托管协议的变更、终止与基金财产的清算</w:t>
      </w:r>
      <w:bookmarkEnd w:id="94"/>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E377B2" w:rsidRDefault="00AC2CD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r>
        <w:rPr>
          <w:rFonts w:ascii="彩虹粗仿宋" w:eastAsia="彩虹粗仿宋" w:hAnsi="宋体" w:cs="Arial" w:hint="eastAsia"/>
          <w:sz w:val="24"/>
        </w:rPr>
        <w:t>后生效。</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《基金合同》终止；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基金托管人解散、依法被撤销、破产或由其他基金托管人接管基金资产；</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基金管理人解散、依法被撤销、破产或由其他基金管理人接管基金管理权；</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发生法律法规或《基金合同》规定的终止事项。</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基金财产清算小组：自出现《基金合同》终止事由之日起</w:t>
      </w:r>
      <w:r>
        <w:rPr>
          <w:rFonts w:ascii="彩虹粗仿宋" w:eastAsia="彩虹粗仿宋" w:hAnsi="宋体" w:cs="Arial" w:hint="eastAsia"/>
          <w:sz w:val="24"/>
        </w:rPr>
        <w:t>30</w:t>
      </w:r>
      <w:r>
        <w:rPr>
          <w:rFonts w:ascii="彩虹粗仿宋" w:eastAsia="彩虹粗仿宋" w:hAnsi="宋体" w:cs="Arial" w:hint="eastAsia"/>
          <w:sz w:val="24"/>
        </w:rPr>
        <w:t>个工作日内成立清算小组，基金管理人组织基金财产清算小组并在中国证监会的监督下进行基金清算。</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基金财产清算小组组成：基金财产清算小组成员由基金管理人、基金托管人、具有从事证券相关业</w:t>
      </w:r>
      <w:r>
        <w:rPr>
          <w:rFonts w:ascii="彩虹粗仿宋" w:eastAsia="彩虹粗仿宋" w:hAnsi="宋体" w:cs="Arial" w:hint="eastAsia"/>
          <w:sz w:val="24"/>
        </w:rPr>
        <w:t>务资格的注册会计师、律师以及中国证监会指定的人员组成。基金财产清算小组可以聘用必要的工作人员。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基金财产清算程序：</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《基金合同》终止情形出现时，由基金财产清算小组统一接管基金；</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对基金财产和债权债务进行清理和确认；</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对基金财产进行估值和变现；</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制作清算报告；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聘请会计师事务所对清算报告进行外部审计，聘请律师事务所对清算报告出具法律意见书；</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将清算结果报中国证监会备案并公告；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对基金财产进行分配。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hint="eastAsia"/>
          <w:sz w:val="24"/>
        </w:rPr>
        <w:t>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hint="eastAsia"/>
          <w:sz w:val="24"/>
        </w:rPr>
        <w:t>清算费用</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hint="eastAsia"/>
          <w:sz w:val="24"/>
        </w:rPr>
        <w:t>基金财产清算剩余资产的分配：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hint="eastAsia"/>
          <w:sz w:val="24"/>
        </w:rPr>
        <w:t>基金财产清算</w:t>
      </w:r>
      <w:r>
        <w:rPr>
          <w:rFonts w:ascii="彩虹粗仿宋" w:eastAsia="彩虹粗仿宋" w:hAnsi="宋体" w:cs="Arial" w:hint="eastAsia"/>
          <w:sz w:val="24"/>
        </w:rPr>
        <w:t>的公告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9.</w:t>
      </w:r>
      <w:r>
        <w:rPr>
          <w:rFonts w:ascii="彩虹粗仿宋" w:eastAsia="彩虹粗仿宋" w:hAnsi="宋体" w:cs="Arial" w:hint="eastAsia"/>
          <w:sz w:val="24"/>
        </w:rPr>
        <w:t>基金财产清算账册及文件的保存</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基金财产清算账册及有关文件由基金托管人保存至少</w:t>
      </w:r>
      <w:r>
        <w:rPr>
          <w:rFonts w:ascii="彩虹粗仿宋" w:eastAsia="彩虹粗仿宋" w:hAnsi="宋体" w:cs="Arial" w:hint="eastAsia"/>
          <w:sz w:val="24"/>
        </w:rPr>
        <w:t>15</w:t>
      </w:r>
      <w:r>
        <w:rPr>
          <w:rFonts w:ascii="彩虹粗仿宋" w:eastAsia="彩虹粗仿宋" w:hAnsi="宋体" w:cs="Arial" w:hint="eastAsia"/>
          <w:sz w:val="24"/>
        </w:rPr>
        <w:t>年。</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5" w:name="_Toc22625"/>
      <w:r>
        <w:rPr>
          <w:rFonts w:ascii="彩虹粗仿宋" w:eastAsia="彩虹粗仿宋" w:hint="eastAsia"/>
          <w:sz w:val="30"/>
        </w:rPr>
        <w:t>十七、违约责任</w:t>
      </w:r>
      <w:bookmarkEnd w:id="95"/>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不可抗力；</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hint="eastAsia"/>
          <w:sz w:val="24"/>
        </w:rPr>
        <w:t>基金管理人、基金托管人按照当时有效的法律法规或</w:t>
      </w:r>
      <w:r>
        <w:rPr>
          <w:rFonts w:ascii="彩虹粗仿宋" w:eastAsia="彩虹粗仿宋" w:hAnsi="宋体" w:cs="Arial" w:hint="eastAsia"/>
          <w:sz w:val="24"/>
        </w:rPr>
        <w:t>中国证监会的规定作为或不作为而造成的损失等；</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hint="eastAsia"/>
          <w:sz w:val="24"/>
        </w:rPr>
        <w:t>在没有过错的情况下，基金管理人由于按照《基金合同》规定的投资原则投资或不投资造成的直接损失或潜在损失等；</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377B2" w:rsidRDefault="00AC2CD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377B2" w:rsidRDefault="00E377B2">
      <w:pPr>
        <w:adjustRightInd w:val="0"/>
        <w:snapToGrid w:val="0"/>
        <w:outlineLvl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6" w:name="_Toc11640"/>
      <w:r>
        <w:rPr>
          <w:rFonts w:ascii="彩虹粗仿宋" w:eastAsia="彩虹粗仿宋" w:hint="eastAsia"/>
          <w:sz w:val="30"/>
        </w:rPr>
        <w:t>十八、争议解决方式</w:t>
      </w:r>
      <w:bookmarkEnd w:id="96"/>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w:t>
      </w:r>
      <w:r>
        <w:rPr>
          <w:rFonts w:ascii="彩虹粗仿宋" w:eastAsia="彩虹粗仿宋" w:hAnsi="宋体" w:cs="Arial" w:hint="eastAsia"/>
          <w:sz w:val="24"/>
        </w:rPr>
        <w:t>，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本协议受中国法律管辖。</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7" w:name="_Toc27840"/>
      <w:r>
        <w:rPr>
          <w:rFonts w:ascii="彩虹粗仿宋" w:eastAsia="彩虹粗仿宋" w:hint="eastAsia"/>
          <w:sz w:val="30"/>
        </w:rPr>
        <w:t>十九、托管协议的效力</w:t>
      </w:r>
      <w:bookmarkEnd w:id="97"/>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w:t>
      </w:r>
      <w:r>
        <w:rPr>
          <w:rFonts w:ascii="彩虹粗仿宋" w:eastAsia="彩虹粗仿宋" w:hAnsi="宋体" w:cs="Arial" w:hint="eastAsia"/>
          <w:sz w:val="24"/>
        </w:rPr>
        <w:t>草案，应经托管协议当事人双方盖章以及双方法定代表人或授权代表签字（或盖章），协议当事人双方根据中国证监会的意见修改托管协议草案。托管协议以中国证监会备案的文本为正式文本。</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E377B2" w:rsidRDefault="00AC2CD0">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E377B2" w:rsidRDefault="00E377B2">
      <w:pPr>
        <w:adjustRightInd w:val="0"/>
        <w:snapToGrid w:val="0"/>
        <w:rPr>
          <w:rFonts w:ascii="彩虹粗仿宋" w:eastAsia="彩虹粗仿宋" w:hAnsi="宋体" w:cs="Arial"/>
          <w:sz w:val="24"/>
        </w:rPr>
      </w:pPr>
    </w:p>
    <w:p w:rsidR="00E377B2" w:rsidRDefault="00AC2CD0">
      <w:pPr>
        <w:pStyle w:val="2"/>
        <w:jc w:val="center"/>
        <w:rPr>
          <w:rFonts w:ascii="彩虹粗仿宋" w:eastAsia="彩虹粗仿宋"/>
          <w:sz w:val="30"/>
        </w:rPr>
      </w:pPr>
      <w:bookmarkStart w:id="98" w:name="_Toc13742"/>
      <w:r>
        <w:rPr>
          <w:rFonts w:ascii="彩虹粗仿宋" w:eastAsia="彩虹粗仿宋" w:hint="eastAsia"/>
          <w:sz w:val="30"/>
        </w:rPr>
        <w:t>二十、其他事项</w:t>
      </w:r>
      <w:bookmarkEnd w:id="98"/>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377B2" w:rsidRDefault="00E377B2">
      <w:pPr>
        <w:adjustRightInd w:val="0"/>
        <w:snapToGrid w:val="0"/>
        <w:rPr>
          <w:rFonts w:ascii="彩虹粗仿宋" w:eastAsia="彩虹粗仿宋"/>
          <w:b/>
          <w:bCs/>
        </w:rPr>
      </w:pPr>
    </w:p>
    <w:p w:rsidR="00E377B2" w:rsidRDefault="00AC2CD0">
      <w:pPr>
        <w:pStyle w:val="2"/>
        <w:jc w:val="center"/>
        <w:rPr>
          <w:rFonts w:ascii="彩虹粗仿宋" w:eastAsia="彩虹粗仿宋"/>
          <w:sz w:val="30"/>
        </w:rPr>
      </w:pPr>
      <w:bookmarkStart w:id="99" w:name="_Toc16194"/>
      <w:r>
        <w:rPr>
          <w:rFonts w:ascii="彩虹粗仿宋" w:eastAsia="彩虹粗仿宋" w:hint="eastAsia"/>
          <w:sz w:val="30"/>
        </w:rPr>
        <w:t>二十一、托管协议的签订</w:t>
      </w:r>
      <w:bookmarkEnd w:id="99"/>
    </w:p>
    <w:p w:rsidR="00E377B2" w:rsidRDefault="00AC2CD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E377B2" w:rsidRDefault="00E377B2">
      <w:pPr>
        <w:adjustRightInd w:val="0"/>
        <w:snapToGrid w:val="0"/>
        <w:ind w:firstLineChars="200" w:firstLine="480"/>
        <w:rPr>
          <w:rFonts w:ascii="彩虹粗仿宋" w:eastAsia="彩虹粗仿宋" w:hAnsi="宋体" w:cs="Arial"/>
          <w:sz w:val="24"/>
        </w:rPr>
        <w:sectPr w:rsidR="00E377B2">
          <w:headerReference w:type="default" r:id="rId10"/>
          <w:pgSz w:w="11906" w:h="16838"/>
          <w:pgMar w:top="1418" w:right="1701" w:bottom="1418" w:left="1701" w:header="851" w:footer="992" w:gutter="0"/>
          <w:cols w:space="425"/>
          <w:docGrid w:type="lines" w:linePitch="312"/>
        </w:sectPr>
      </w:pPr>
    </w:p>
    <w:p w:rsidR="00E377B2" w:rsidRDefault="00AC2CD0">
      <w:pPr>
        <w:spacing w:line="360" w:lineRule="auto"/>
        <w:ind w:right="26"/>
        <w:rPr>
          <w:rFonts w:ascii="彩虹粗仿宋" w:eastAsia="彩虹粗仿宋"/>
          <w:sz w:val="24"/>
        </w:rPr>
      </w:pPr>
      <w:r>
        <w:rPr>
          <w:rFonts w:ascii="彩虹粗仿宋" w:eastAsia="彩虹粗仿宋" w:hint="eastAsia"/>
          <w:sz w:val="24"/>
        </w:rPr>
        <w:lastRenderedPageBreak/>
        <w:t>本页无正文，为《泰达宏利</w:t>
      </w:r>
      <w:r>
        <w:rPr>
          <w:rFonts w:ascii="彩虹粗仿宋" w:eastAsia="彩虹粗仿宋"/>
          <w:sz w:val="24"/>
        </w:rPr>
        <w:t>汇利债券型</w:t>
      </w:r>
      <w:r>
        <w:rPr>
          <w:rFonts w:ascii="彩虹粗仿宋" w:eastAsia="彩虹粗仿宋" w:hint="eastAsia"/>
          <w:sz w:val="24"/>
        </w:rPr>
        <w:t>证券投资基金托管协议》的签字盖章页。</w:t>
      </w:r>
    </w:p>
    <w:p w:rsidR="00E377B2" w:rsidRDefault="00AC2CD0">
      <w:pPr>
        <w:spacing w:line="360" w:lineRule="auto"/>
        <w:ind w:right="26"/>
        <w:rPr>
          <w:rFonts w:ascii="彩虹粗仿宋" w:eastAsia="彩虹粗仿宋"/>
          <w:sz w:val="24"/>
        </w:rPr>
      </w:pPr>
      <w:r>
        <w:rPr>
          <w:rFonts w:ascii="彩虹粗仿宋" w:eastAsia="彩虹粗仿宋" w:hint="eastAsia"/>
          <w:sz w:val="24"/>
        </w:rPr>
        <w:t>基金管理人：泰达宏利基金管理有限公司（盖章）</w:t>
      </w: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AC2CD0">
      <w:pPr>
        <w:spacing w:line="360" w:lineRule="auto"/>
        <w:ind w:right="26"/>
        <w:rPr>
          <w:rFonts w:ascii="彩虹粗仿宋" w:eastAsia="彩虹粗仿宋"/>
          <w:sz w:val="24"/>
        </w:rPr>
      </w:pPr>
      <w:r>
        <w:rPr>
          <w:rFonts w:ascii="彩虹粗仿宋" w:eastAsia="彩虹粗仿宋" w:hint="eastAsia"/>
          <w:sz w:val="24"/>
        </w:rPr>
        <w:t>法定代表人或授权代表：</w:t>
      </w:r>
      <w:r>
        <w:rPr>
          <w:rFonts w:ascii="彩虹粗仿宋" w:eastAsia="彩虹粗仿宋" w:hint="eastAsia"/>
          <w:sz w:val="24"/>
        </w:rPr>
        <w:t xml:space="preserve">                   </w:t>
      </w: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AC2CD0">
      <w:pPr>
        <w:spacing w:line="360" w:lineRule="auto"/>
        <w:ind w:right="26"/>
        <w:rPr>
          <w:rFonts w:ascii="彩虹粗仿宋" w:eastAsia="彩虹粗仿宋"/>
          <w:sz w:val="24"/>
        </w:rPr>
      </w:pPr>
      <w:r>
        <w:rPr>
          <w:rFonts w:ascii="彩虹粗仿宋" w:eastAsia="彩虹粗仿宋" w:hint="eastAsia"/>
          <w:sz w:val="24"/>
        </w:rPr>
        <w:t>临时基金托管人：中国建设银行股份有限公司（盖章）</w:t>
      </w: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E377B2">
      <w:pPr>
        <w:spacing w:line="360" w:lineRule="auto"/>
        <w:ind w:right="26"/>
        <w:rPr>
          <w:rFonts w:ascii="彩虹粗仿宋" w:eastAsia="彩虹粗仿宋"/>
          <w:sz w:val="24"/>
        </w:rPr>
      </w:pPr>
    </w:p>
    <w:p w:rsidR="00E377B2" w:rsidRDefault="00AC2CD0">
      <w:pPr>
        <w:spacing w:line="360" w:lineRule="auto"/>
        <w:ind w:right="26"/>
        <w:rPr>
          <w:rFonts w:ascii="彩虹粗仿宋" w:eastAsia="彩虹粗仿宋"/>
          <w:sz w:val="24"/>
        </w:rPr>
      </w:pPr>
      <w:r>
        <w:rPr>
          <w:rFonts w:ascii="彩虹粗仿宋" w:eastAsia="彩虹粗仿宋" w:hint="eastAsia"/>
          <w:sz w:val="24"/>
        </w:rPr>
        <w:t>法定代表人或授权代表：</w:t>
      </w:r>
      <w:r>
        <w:rPr>
          <w:rFonts w:ascii="彩虹粗仿宋" w:eastAsia="彩虹粗仿宋" w:hint="eastAsia"/>
          <w:sz w:val="24"/>
        </w:rPr>
        <w:t xml:space="preserve">                   </w:t>
      </w:r>
    </w:p>
    <w:p w:rsidR="00E377B2" w:rsidRDefault="00E377B2">
      <w:pPr>
        <w:spacing w:line="360" w:lineRule="auto"/>
        <w:ind w:right="26"/>
        <w:rPr>
          <w:rFonts w:ascii="彩虹粗仿宋" w:eastAsia="彩虹粗仿宋"/>
          <w:b/>
          <w:sz w:val="24"/>
          <w:szCs w:val="28"/>
        </w:rPr>
      </w:pPr>
    </w:p>
    <w:p w:rsidR="00E377B2" w:rsidRDefault="00E377B2">
      <w:pPr>
        <w:spacing w:line="360" w:lineRule="auto"/>
        <w:ind w:right="26"/>
        <w:rPr>
          <w:rFonts w:ascii="彩虹粗仿宋" w:eastAsia="彩虹粗仿宋"/>
          <w:b/>
          <w:sz w:val="24"/>
          <w:szCs w:val="28"/>
        </w:rPr>
      </w:pPr>
    </w:p>
    <w:p w:rsidR="00E377B2" w:rsidRDefault="00E377B2">
      <w:pPr>
        <w:spacing w:line="360" w:lineRule="auto"/>
        <w:ind w:right="26"/>
        <w:rPr>
          <w:rFonts w:ascii="彩虹粗仿宋" w:eastAsia="彩虹粗仿宋"/>
          <w:b/>
          <w:sz w:val="24"/>
          <w:szCs w:val="28"/>
        </w:rPr>
      </w:pPr>
    </w:p>
    <w:p w:rsidR="00E377B2" w:rsidRDefault="00AC2CD0">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E377B2" w:rsidRDefault="00AC2CD0">
      <w:pPr>
        <w:spacing w:line="360" w:lineRule="auto"/>
        <w:ind w:right="26"/>
        <w:rPr>
          <w:rFonts w:ascii="彩虹粗仿宋" w:eastAsia="彩虹粗仿宋"/>
          <w:b/>
          <w:sz w:val="24"/>
          <w:szCs w:val="28"/>
        </w:rPr>
      </w:pPr>
      <w:r>
        <w:rPr>
          <w:rFonts w:ascii="彩虹粗仿宋" w:eastAsia="彩虹粗仿宋" w:hint="eastAsia"/>
          <w:b/>
          <w:sz w:val="24"/>
          <w:szCs w:val="28"/>
        </w:rPr>
        <w:t>签</w:t>
      </w:r>
      <w:r>
        <w:rPr>
          <w:rFonts w:ascii="彩虹粗仿宋" w:eastAsia="彩虹粗仿宋" w:hint="eastAsia"/>
          <w:b/>
          <w:sz w:val="24"/>
          <w:szCs w:val="28"/>
        </w:rPr>
        <w:t xml:space="preserve"> </w:t>
      </w:r>
      <w:r>
        <w:rPr>
          <w:rFonts w:ascii="彩虹粗仿宋" w:eastAsia="彩虹粗仿宋" w:hint="eastAsia"/>
          <w:b/>
          <w:sz w:val="24"/>
          <w:szCs w:val="28"/>
        </w:rPr>
        <w:t>订</w:t>
      </w:r>
      <w:r>
        <w:rPr>
          <w:rFonts w:ascii="彩虹粗仿宋" w:eastAsia="彩虹粗仿宋" w:hint="eastAsia"/>
          <w:b/>
          <w:sz w:val="24"/>
          <w:szCs w:val="28"/>
        </w:rPr>
        <w:t xml:space="preserve"> </w:t>
      </w:r>
      <w:r>
        <w:rPr>
          <w:rFonts w:ascii="彩虹粗仿宋" w:eastAsia="彩虹粗仿宋" w:hint="eastAsia"/>
          <w:b/>
          <w:sz w:val="24"/>
          <w:szCs w:val="28"/>
        </w:rPr>
        <w:t>日：二零二</w:t>
      </w:r>
      <w:r>
        <w:rPr>
          <w:rFonts w:ascii="宋体" w:hAnsi="宋体" w:cs="宋体" w:hint="eastAsia"/>
          <w:b/>
          <w:sz w:val="24"/>
          <w:szCs w:val="28"/>
        </w:rPr>
        <w:t xml:space="preserve"> </w:t>
      </w:r>
      <w:r>
        <w:rPr>
          <w:rFonts w:ascii="彩虹粗仿宋" w:eastAsia="彩虹粗仿宋" w:hint="eastAsia"/>
          <w:b/>
          <w:sz w:val="24"/>
          <w:szCs w:val="28"/>
        </w:rPr>
        <w:t>年</w:t>
      </w:r>
      <w:r>
        <w:rPr>
          <w:rFonts w:ascii="宋体" w:hAnsi="宋体" w:cs="宋体" w:hint="eastAsia"/>
          <w:b/>
          <w:sz w:val="24"/>
          <w:szCs w:val="28"/>
        </w:rPr>
        <w:t xml:space="preserve"> </w:t>
      </w:r>
      <w:r>
        <w:rPr>
          <w:rFonts w:ascii="彩虹粗仿宋" w:eastAsia="彩虹粗仿宋" w:hint="eastAsia"/>
          <w:b/>
          <w:sz w:val="24"/>
          <w:szCs w:val="28"/>
        </w:rPr>
        <w:t>月</w:t>
      </w:r>
      <w:r>
        <w:rPr>
          <w:rFonts w:ascii="宋体" w:hAnsi="宋体" w:cs="宋体" w:hint="eastAsia"/>
          <w:b/>
          <w:sz w:val="24"/>
          <w:szCs w:val="28"/>
        </w:rPr>
        <w:t xml:space="preserve"> </w:t>
      </w:r>
      <w:r>
        <w:rPr>
          <w:rFonts w:ascii="彩虹粗仿宋" w:eastAsia="彩虹粗仿宋" w:hint="eastAsia"/>
          <w:b/>
          <w:sz w:val="24"/>
          <w:szCs w:val="28"/>
        </w:rPr>
        <w:t>日</w:t>
      </w:r>
    </w:p>
    <w:p w:rsidR="00E377B2" w:rsidRDefault="00E377B2">
      <w:pPr>
        <w:adjustRightInd w:val="0"/>
        <w:snapToGrid w:val="0"/>
        <w:rPr>
          <w:rFonts w:ascii="彩虹粗仿宋" w:eastAsia="彩虹粗仿宋" w:hAnsi="宋体" w:cs="Arial"/>
          <w:sz w:val="24"/>
        </w:rPr>
      </w:pPr>
    </w:p>
    <w:p w:rsidR="00E377B2" w:rsidRDefault="00E377B2"/>
    <w:p w:rsidR="00E377B2" w:rsidRDefault="00E377B2"/>
    <w:p w:rsidR="00E377B2" w:rsidRDefault="00E377B2"/>
    <w:sectPr w:rsidR="00E377B2">
      <w:headerReference w:type="default" r:id="rId11"/>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D0" w:rsidRDefault="00AC2CD0">
      <w:r>
        <w:separator/>
      </w:r>
    </w:p>
  </w:endnote>
  <w:endnote w:type="continuationSeparator" w:id="0">
    <w:p w:rsidR="00AC2CD0" w:rsidRDefault="00A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panose1 w:val="03000509000000000000"/>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B2" w:rsidRDefault="00AC2CD0">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377B2" w:rsidRDefault="00E377B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B2" w:rsidRDefault="00AC2CD0">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E7042">
      <w:rPr>
        <w:rStyle w:val="af4"/>
        <w:noProof/>
      </w:rPr>
      <w:t>1</w:t>
    </w:r>
    <w:r>
      <w:rPr>
        <w:rStyle w:val="af4"/>
      </w:rPr>
      <w:fldChar w:fldCharType="end"/>
    </w:r>
  </w:p>
  <w:p w:rsidR="00E377B2" w:rsidRDefault="00E377B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B2" w:rsidRDefault="00E377B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D0" w:rsidRDefault="00AC2CD0">
      <w:r>
        <w:separator/>
      </w:r>
    </w:p>
  </w:footnote>
  <w:footnote w:type="continuationSeparator" w:id="0">
    <w:p w:rsidR="00AC2CD0" w:rsidRDefault="00AC2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B2" w:rsidRDefault="00E377B2">
    <w:pPr>
      <w:pStyle w:val="af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B2" w:rsidRDefault="00E377B2">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E1"/>
    <w:rsid w:val="00071130"/>
    <w:rsid w:val="000C1C71"/>
    <w:rsid w:val="000C5C40"/>
    <w:rsid w:val="000F1376"/>
    <w:rsid w:val="001761AE"/>
    <w:rsid w:val="00186DEB"/>
    <w:rsid w:val="001E5E6E"/>
    <w:rsid w:val="001F1193"/>
    <w:rsid w:val="0026141F"/>
    <w:rsid w:val="002A13E7"/>
    <w:rsid w:val="00346C81"/>
    <w:rsid w:val="003C6F22"/>
    <w:rsid w:val="003F0AA0"/>
    <w:rsid w:val="00456F1D"/>
    <w:rsid w:val="004B3CE1"/>
    <w:rsid w:val="005007BB"/>
    <w:rsid w:val="005D4D7B"/>
    <w:rsid w:val="005D744E"/>
    <w:rsid w:val="006004DD"/>
    <w:rsid w:val="006315FB"/>
    <w:rsid w:val="006D50E1"/>
    <w:rsid w:val="007671A4"/>
    <w:rsid w:val="007D04AB"/>
    <w:rsid w:val="007F381F"/>
    <w:rsid w:val="007F6967"/>
    <w:rsid w:val="0086791F"/>
    <w:rsid w:val="008E08BC"/>
    <w:rsid w:val="0090138D"/>
    <w:rsid w:val="00961DFD"/>
    <w:rsid w:val="00A549F1"/>
    <w:rsid w:val="00A658EC"/>
    <w:rsid w:val="00AC2CD0"/>
    <w:rsid w:val="00B64036"/>
    <w:rsid w:val="00B70180"/>
    <w:rsid w:val="00BD5EA8"/>
    <w:rsid w:val="00BE7042"/>
    <w:rsid w:val="00C1295B"/>
    <w:rsid w:val="00D75DA5"/>
    <w:rsid w:val="00D808A5"/>
    <w:rsid w:val="00DC2A3B"/>
    <w:rsid w:val="00E377B2"/>
    <w:rsid w:val="00E744FA"/>
    <w:rsid w:val="00EC2A43"/>
    <w:rsid w:val="00EE0F20"/>
    <w:rsid w:val="00F838B3"/>
    <w:rsid w:val="00FA5C12"/>
    <w:rsid w:val="00FC2BDE"/>
    <w:rsid w:val="2DD7763D"/>
    <w:rsid w:val="4248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94915-D6A7-49E3-B483-D224697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semiHidden/>
    <w:pPr>
      <w:jc w:val="left"/>
    </w:pPr>
  </w:style>
  <w:style w:type="paragraph" w:styleId="7">
    <w:name w:val="toc 7"/>
    <w:basedOn w:val="a"/>
    <w:next w:val="a"/>
    <w:semiHidden/>
    <w:pPr>
      <w:ind w:leftChars="1200" w:left="2520"/>
    </w:pPr>
  </w:style>
  <w:style w:type="paragraph" w:styleId="a8">
    <w:name w:val="Body Text"/>
    <w:basedOn w:val="a"/>
    <w:link w:val="a9"/>
    <w:pPr>
      <w:spacing w:line="360" w:lineRule="auto"/>
    </w:pPr>
    <w:rPr>
      <w:rFonts w:ascii="仿宋_GB2312" w:eastAsia="仿宋_GB2312"/>
      <w:color w:val="000000"/>
      <w:kern w:val="0"/>
      <w:sz w:val="24"/>
      <w:szCs w:val="28"/>
    </w:rPr>
  </w:style>
  <w:style w:type="paragraph" w:styleId="aa">
    <w:name w:val="Body Text Indent"/>
    <w:basedOn w:val="a"/>
    <w:link w:val="ab"/>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1">
    <w:name w:val="Body Text Indent 2"/>
    <w:basedOn w:val="a"/>
    <w:link w:val="22"/>
    <w:pPr>
      <w:spacing w:line="360" w:lineRule="auto"/>
      <w:ind w:firstLine="525"/>
    </w:pPr>
    <w:rPr>
      <w:rFonts w:ascii="宋体" w:hAnsi="宋体"/>
      <w:sz w:val="28"/>
      <w:szCs w:val="20"/>
    </w:rPr>
  </w:style>
  <w:style w:type="paragraph" w:styleId="ac">
    <w:name w:val="Balloon Text"/>
    <w:basedOn w:val="a"/>
    <w:link w:val="ad"/>
    <w:semiHidden/>
    <w:rPr>
      <w:sz w:val="18"/>
      <w:szCs w:val="18"/>
    </w:rPr>
  </w:style>
  <w:style w:type="paragraph" w:styleId="ae">
    <w:name w:val="footer"/>
    <w:basedOn w:val="a"/>
    <w:link w:val="af"/>
    <w:unhideWhenUsed/>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1"/>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pPr>
      <w:ind w:leftChars="200" w:left="420"/>
    </w:pPr>
  </w:style>
  <w:style w:type="paragraph" w:styleId="9">
    <w:name w:val="toc 9"/>
    <w:basedOn w:val="a"/>
    <w:next w:val="a"/>
    <w:semiHidden/>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style>
  <w:style w:type="character" w:styleId="af5">
    <w:name w:val="Hyperlink"/>
    <w:rPr>
      <w:color w:val="0000FF"/>
      <w:u w:val="single"/>
    </w:rPr>
  </w:style>
  <w:style w:type="character" w:styleId="af6">
    <w:name w:val="annotation reference"/>
    <w:semiHidden/>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rPr>
      <w:rFonts w:ascii="Times New Roman" w:eastAsia="宋体" w:hAnsi="Times New Roman" w:cs="Times New Roman"/>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9">
    <w:name w:val="正文文本 字符"/>
    <w:basedOn w:val="a1"/>
    <w:link w:val="a8"/>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7">
    <w:name w:val="批注文字 字符"/>
    <w:basedOn w:val="a1"/>
    <w:link w:val="a5"/>
    <w:semiHidden/>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rPr>
      <w:rFonts w:ascii="Times New Roman" w:eastAsia="宋体" w:hAnsi="Times New Roman" w:cs="Times New Roman"/>
      <w:b/>
      <w:bCs/>
      <w:szCs w:val="24"/>
    </w:rPr>
  </w:style>
  <w:style w:type="character" w:customStyle="1" w:styleId="10">
    <w:name w:val="已访问的超链接1"/>
    <w:uiPriority w:val="99"/>
    <w:semiHidden/>
    <w:unhideWhenUsed/>
    <w:rPr>
      <w:color w:val="800080"/>
      <w:u w:val="single"/>
    </w:rPr>
  </w:style>
  <w:style w:type="paragraph" w:customStyle="1" w:styleId="11">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7BB03-4EBE-41E2-9387-06C36A82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4247</Words>
  <Characters>24210</Characters>
  <Application>Microsoft Office Word</Application>
  <DocSecurity>0</DocSecurity>
  <Lines>201</Lines>
  <Paragraphs>56</Paragraphs>
  <ScaleCrop>false</ScaleCrop>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韩佳颖</dc:creator>
  <cp:lastModifiedBy>王硕</cp:lastModifiedBy>
  <cp:revision>9</cp:revision>
  <dcterms:created xsi:type="dcterms:W3CDTF">2021-01-29T05:40:00Z</dcterms:created>
  <dcterms:modified xsi:type="dcterms:W3CDTF">2021-02-24T02:17:00Z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