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AE" w:rsidRDefault="006109AE">
      <w:pPr>
        <w:adjustRightInd w:val="0"/>
        <w:snapToGrid w:val="0"/>
        <w:spacing w:line="360" w:lineRule="auto"/>
        <w:jc w:val="center"/>
        <w:rPr>
          <w:rFonts w:asciiTheme="minorEastAsia" w:eastAsiaTheme="minorEastAsia" w:hAnsiTheme="minorEastAsia" w:cs="Arial"/>
          <w:sz w:val="24"/>
        </w:rPr>
      </w:pPr>
    </w:p>
    <w:p w:rsidR="006109AE" w:rsidRDefault="006109AE">
      <w:pPr>
        <w:adjustRightInd w:val="0"/>
        <w:snapToGrid w:val="0"/>
        <w:spacing w:line="360" w:lineRule="auto"/>
        <w:jc w:val="center"/>
        <w:rPr>
          <w:rFonts w:asciiTheme="minorEastAsia" w:eastAsiaTheme="minorEastAsia" w:hAnsiTheme="minorEastAsia" w:cs="Arial"/>
          <w:sz w:val="24"/>
        </w:rPr>
      </w:pPr>
    </w:p>
    <w:p w:rsidR="006109AE" w:rsidRDefault="006109AE">
      <w:pPr>
        <w:adjustRightInd w:val="0"/>
        <w:snapToGrid w:val="0"/>
        <w:spacing w:line="360" w:lineRule="auto"/>
        <w:jc w:val="center"/>
        <w:rPr>
          <w:rFonts w:asciiTheme="minorEastAsia" w:eastAsiaTheme="minorEastAsia" w:hAnsiTheme="minorEastAsia" w:cs="Arial"/>
          <w:sz w:val="24"/>
        </w:rPr>
      </w:pPr>
    </w:p>
    <w:p w:rsidR="006109AE" w:rsidRDefault="006109AE">
      <w:pPr>
        <w:adjustRightInd w:val="0"/>
        <w:snapToGrid w:val="0"/>
        <w:spacing w:line="360" w:lineRule="auto"/>
        <w:jc w:val="center"/>
        <w:rPr>
          <w:rFonts w:asciiTheme="minorEastAsia" w:eastAsiaTheme="minorEastAsia" w:hAnsiTheme="minorEastAsia" w:cs="Arial"/>
          <w:sz w:val="24"/>
        </w:rPr>
      </w:pPr>
    </w:p>
    <w:p w:rsidR="006109AE" w:rsidRDefault="006109AE">
      <w:pPr>
        <w:adjustRightInd w:val="0"/>
        <w:snapToGrid w:val="0"/>
        <w:spacing w:line="360" w:lineRule="auto"/>
        <w:jc w:val="center"/>
        <w:rPr>
          <w:rFonts w:asciiTheme="minorEastAsia" w:eastAsiaTheme="minorEastAsia" w:hAnsiTheme="minorEastAsia" w:cs="Arial"/>
          <w:sz w:val="24"/>
        </w:rPr>
      </w:pPr>
    </w:p>
    <w:p w:rsidR="006109AE" w:rsidRDefault="006109AE">
      <w:pPr>
        <w:adjustRightInd w:val="0"/>
        <w:snapToGrid w:val="0"/>
        <w:spacing w:line="360" w:lineRule="auto"/>
        <w:jc w:val="center"/>
        <w:rPr>
          <w:rFonts w:asciiTheme="minorEastAsia" w:eastAsiaTheme="minorEastAsia" w:hAnsiTheme="minorEastAsia" w:cs="Arial"/>
          <w:sz w:val="24"/>
        </w:rPr>
      </w:pPr>
    </w:p>
    <w:p w:rsidR="006109AE" w:rsidRDefault="006109AE">
      <w:pPr>
        <w:adjustRightInd w:val="0"/>
        <w:snapToGrid w:val="0"/>
        <w:spacing w:line="360" w:lineRule="auto"/>
        <w:jc w:val="center"/>
        <w:rPr>
          <w:rFonts w:asciiTheme="minorEastAsia" w:eastAsiaTheme="minorEastAsia" w:hAnsiTheme="minorEastAsia" w:cs="Arial"/>
          <w:sz w:val="28"/>
        </w:rPr>
      </w:pPr>
    </w:p>
    <w:p w:rsidR="006109AE" w:rsidRDefault="00754B7E">
      <w:pPr>
        <w:adjustRightInd w:val="0"/>
        <w:snapToGrid w:val="0"/>
        <w:spacing w:line="360" w:lineRule="auto"/>
        <w:jc w:val="center"/>
        <w:rPr>
          <w:rFonts w:asciiTheme="minorEastAsia" w:eastAsiaTheme="minorEastAsia" w:hAnsiTheme="minorEastAsia" w:cs="Arial"/>
          <w:b/>
          <w:sz w:val="48"/>
        </w:rPr>
      </w:pPr>
      <w:r>
        <w:rPr>
          <w:rFonts w:asciiTheme="minorEastAsia" w:eastAsiaTheme="minorEastAsia" w:hAnsiTheme="minorEastAsia" w:cs="Arial" w:hint="eastAsia"/>
          <w:b/>
          <w:sz w:val="48"/>
        </w:rPr>
        <w:t>中航</w:t>
      </w:r>
      <w:r>
        <w:rPr>
          <w:rFonts w:asciiTheme="minorEastAsia" w:eastAsiaTheme="minorEastAsia" w:hAnsiTheme="minorEastAsia" w:cs="Arial"/>
          <w:b/>
          <w:sz w:val="48"/>
        </w:rPr>
        <w:t>创新驱动股票型</w:t>
      </w:r>
      <w:r>
        <w:rPr>
          <w:rFonts w:asciiTheme="minorEastAsia" w:eastAsiaTheme="minorEastAsia" w:hAnsiTheme="minorEastAsia" w:cs="Arial" w:hint="eastAsia"/>
          <w:b/>
          <w:sz w:val="48"/>
        </w:rPr>
        <w:t>证券投资基金</w:t>
      </w:r>
    </w:p>
    <w:p w:rsidR="006109AE" w:rsidRDefault="00754B7E">
      <w:pPr>
        <w:adjustRightInd w:val="0"/>
        <w:snapToGrid w:val="0"/>
        <w:spacing w:line="360" w:lineRule="auto"/>
        <w:jc w:val="center"/>
        <w:rPr>
          <w:rFonts w:asciiTheme="minorEastAsia" w:eastAsiaTheme="minorEastAsia" w:hAnsiTheme="minorEastAsia" w:cs="Arial"/>
          <w:b/>
          <w:sz w:val="48"/>
        </w:rPr>
      </w:pPr>
      <w:r>
        <w:rPr>
          <w:rFonts w:asciiTheme="minorEastAsia" w:eastAsiaTheme="minorEastAsia" w:hAnsiTheme="minorEastAsia" w:cs="Arial" w:hint="eastAsia"/>
          <w:b/>
          <w:sz w:val="48"/>
        </w:rPr>
        <w:t>托管协议</w:t>
      </w: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6109AE">
      <w:pPr>
        <w:spacing w:line="360" w:lineRule="auto"/>
        <w:jc w:val="center"/>
      </w:pPr>
    </w:p>
    <w:p w:rsidR="006109AE" w:rsidRDefault="00754B7E">
      <w:pPr>
        <w:jc w:val="center"/>
        <w:rPr>
          <w:b/>
          <w:sz w:val="28"/>
        </w:rPr>
      </w:pPr>
      <w:r>
        <w:rPr>
          <w:rFonts w:hint="eastAsia"/>
          <w:b/>
          <w:sz w:val="28"/>
        </w:rPr>
        <w:t>基金管理人：中航基金管理有限公司</w:t>
      </w:r>
    </w:p>
    <w:p w:rsidR="006109AE" w:rsidRDefault="00754B7E">
      <w:pPr>
        <w:jc w:val="center"/>
        <w:rPr>
          <w:b/>
          <w:sz w:val="28"/>
        </w:rPr>
      </w:pPr>
      <w:r>
        <w:rPr>
          <w:rFonts w:hint="eastAsia"/>
          <w:b/>
          <w:sz w:val="28"/>
        </w:rPr>
        <w:t>基金托管人：中国建设银行股份有限公司</w:t>
      </w:r>
    </w:p>
    <w:p w:rsidR="006109AE" w:rsidRDefault="006109AE">
      <w:pPr>
        <w:spacing w:line="360" w:lineRule="auto"/>
        <w:jc w:val="center"/>
      </w:pPr>
    </w:p>
    <w:p w:rsidR="006109AE" w:rsidRDefault="006109AE">
      <w:pPr>
        <w:jc w:val="center"/>
      </w:pPr>
    </w:p>
    <w:p w:rsidR="006109AE" w:rsidRDefault="006109AE"/>
    <w:p w:rsidR="006109AE" w:rsidRDefault="006109AE">
      <w:pPr>
        <w:spacing w:line="360" w:lineRule="auto"/>
        <w:jc w:val="center"/>
        <w:rPr>
          <w:rFonts w:asciiTheme="minorEastAsia" w:eastAsiaTheme="minorEastAsia" w:hAnsiTheme="minorEastAsia"/>
          <w:b/>
          <w:bCs/>
          <w:sz w:val="28"/>
          <w:szCs w:val="28"/>
        </w:rPr>
        <w:sectPr w:rsidR="006109AE">
          <w:pgSz w:w="11907" w:h="16840"/>
          <w:pgMar w:top="1418" w:right="1559" w:bottom="1418" w:left="1701" w:header="851" w:footer="992" w:gutter="0"/>
          <w:cols w:space="425"/>
          <w:docGrid w:type="lines" w:linePitch="312"/>
        </w:sectPr>
      </w:pPr>
    </w:p>
    <w:p w:rsidR="006109AE" w:rsidRDefault="00754B7E">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目</w:t>
      </w:r>
      <w:r>
        <w:rPr>
          <w:rFonts w:asciiTheme="minorEastAsia" w:eastAsiaTheme="minorEastAsia" w:hAnsiTheme="minorEastAsia"/>
          <w:b/>
          <w:bCs/>
          <w:sz w:val="28"/>
          <w:szCs w:val="28"/>
        </w:rPr>
        <w:t xml:space="preserve">    </w:t>
      </w:r>
      <w:r>
        <w:rPr>
          <w:rFonts w:asciiTheme="minorEastAsia" w:eastAsiaTheme="minorEastAsia" w:hAnsiTheme="minorEastAsia" w:hint="eastAsia"/>
          <w:b/>
          <w:bCs/>
          <w:sz w:val="28"/>
          <w:szCs w:val="28"/>
        </w:rPr>
        <w:t>录</w:t>
      </w:r>
    </w:p>
    <w:p w:rsidR="006109AE" w:rsidRDefault="00754B7E">
      <w:pPr>
        <w:pStyle w:val="21"/>
        <w:tabs>
          <w:tab w:val="right" w:leader="dot" w:pos="8494"/>
        </w:tabs>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TOC \o "1-2" \h \z </w:instrText>
      </w:r>
      <w:r>
        <w:rPr>
          <w:rFonts w:asciiTheme="minorEastAsia" w:eastAsiaTheme="minorEastAsia" w:hAnsiTheme="minorEastAsia" w:hint="eastAsia"/>
          <w:sz w:val="28"/>
          <w:szCs w:val="28"/>
        </w:rPr>
        <w:fldChar w:fldCharType="separate"/>
      </w:r>
      <w:hyperlink w:anchor="_Toc124325885" w:history="1">
        <w:r>
          <w:rPr>
            <w:rStyle w:val="af"/>
            <w:rFonts w:asciiTheme="minorEastAsia" w:eastAsiaTheme="minorEastAsia" w:hAnsiTheme="minorEastAsia" w:hint="eastAsia"/>
            <w:sz w:val="28"/>
            <w:szCs w:val="28"/>
          </w:rPr>
          <w:t>一、基金托管协议当事人</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_Toc124325885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1</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86" w:history="1">
        <w:r>
          <w:rPr>
            <w:rStyle w:val="af"/>
            <w:rFonts w:asciiTheme="minorEastAsia" w:eastAsiaTheme="minorEastAsia" w:hAnsiTheme="minorEastAsia" w:hint="eastAsia"/>
            <w:sz w:val="28"/>
            <w:szCs w:val="28"/>
          </w:rPr>
          <w:t>二、基金托管协议的依据、目的和原则</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_Toc124325886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2</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87" w:history="1">
        <w:r>
          <w:rPr>
            <w:rStyle w:val="af"/>
            <w:rFonts w:asciiTheme="minorEastAsia" w:eastAsiaTheme="minorEastAsia" w:hAnsiTheme="minorEastAsia" w:hint="eastAsia"/>
            <w:sz w:val="28"/>
            <w:szCs w:val="28"/>
          </w:rPr>
          <w:t>三、基金托管人对基金管理</w:t>
        </w:r>
        <w:r>
          <w:rPr>
            <w:rStyle w:val="af"/>
            <w:rFonts w:asciiTheme="minorEastAsia" w:eastAsiaTheme="minorEastAsia" w:hAnsiTheme="minorEastAsia" w:hint="eastAsia"/>
            <w:sz w:val="28"/>
            <w:szCs w:val="28"/>
          </w:rPr>
          <w:t>人的业务监督和核查</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_Toc124325887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88" w:history="1">
        <w:r>
          <w:rPr>
            <w:rStyle w:val="af"/>
            <w:rFonts w:asciiTheme="minorEastAsia" w:eastAsiaTheme="minorEastAsia" w:hAnsiTheme="minorEastAsia" w:hint="eastAsia"/>
            <w:sz w:val="28"/>
            <w:szCs w:val="28"/>
          </w:rPr>
          <w:t>四、基金管理人对基金托管人的业务核查</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_Toc124325888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9</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89" w:history="1">
        <w:r>
          <w:rPr>
            <w:rStyle w:val="af"/>
            <w:rFonts w:asciiTheme="minorEastAsia" w:eastAsiaTheme="minorEastAsia" w:hAnsiTheme="minorEastAsia" w:hint="eastAsia"/>
            <w:sz w:val="28"/>
            <w:szCs w:val="28"/>
          </w:rPr>
          <w:t>五、基金财产的保管</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_Toc124325889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10</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0" w:history="1">
        <w:r>
          <w:rPr>
            <w:rStyle w:val="af"/>
            <w:rFonts w:asciiTheme="minorEastAsia" w:eastAsiaTheme="minorEastAsia" w:hAnsiTheme="minorEastAsia" w:hint="eastAsia"/>
            <w:sz w:val="28"/>
            <w:szCs w:val="28"/>
          </w:rPr>
          <w:t>六、指令的发送、确认及执行</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_Toc124325890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13</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1" w:history="1">
        <w:r>
          <w:rPr>
            <w:rStyle w:val="af"/>
            <w:rFonts w:asciiTheme="minorEastAsia" w:eastAsiaTheme="minorEastAsia" w:hAnsiTheme="minorEastAsia" w:hint="eastAsia"/>
            <w:sz w:val="28"/>
            <w:szCs w:val="28"/>
          </w:rPr>
          <w:t>七、交易及清算交收安排</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_Toc124325891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16</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2" w:history="1">
        <w:r>
          <w:rPr>
            <w:rStyle w:val="af"/>
            <w:rFonts w:asciiTheme="minorEastAsia" w:eastAsiaTheme="minorEastAsia" w:hAnsiTheme="minorEastAsia" w:hint="eastAsia"/>
            <w:sz w:val="28"/>
            <w:szCs w:val="28"/>
          </w:rPr>
          <w:t>八、基金资产净值计算和会计核算</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_Toc124325892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20</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3" w:history="1">
        <w:r>
          <w:rPr>
            <w:rStyle w:val="af"/>
            <w:rFonts w:asciiTheme="minorEastAsia" w:eastAsiaTheme="minorEastAsia" w:hAnsiTheme="minorEastAsia" w:hint="eastAsia"/>
            <w:sz w:val="28"/>
            <w:szCs w:val="28"/>
          </w:rPr>
          <w:t>九、基金收益分配</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w:instrText>
        </w:r>
        <w:r>
          <w:rPr>
            <w:rFonts w:asciiTheme="minorEastAsia" w:eastAsiaTheme="minorEastAsia" w:hAnsiTheme="minorEastAsia"/>
            <w:sz w:val="28"/>
            <w:szCs w:val="28"/>
          </w:rPr>
          <w:instrText xml:space="preserve">GEREF _Toc124325893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25</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4" w:history="1">
        <w:r>
          <w:rPr>
            <w:rStyle w:val="af"/>
            <w:rFonts w:asciiTheme="minorEastAsia" w:eastAsiaTheme="minorEastAsia" w:hAnsiTheme="minorEastAsia" w:hint="eastAsia"/>
            <w:sz w:val="28"/>
            <w:szCs w:val="28"/>
          </w:rPr>
          <w:t>十、基金信息披露</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_Toc124325894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26</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5" w:history="1">
        <w:r>
          <w:rPr>
            <w:rStyle w:val="af"/>
            <w:rFonts w:asciiTheme="minorEastAsia" w:eastAsiaTheme="minorEastAsia" w:hAnsiTheme="minorEastAsia" w:hint="eastAsia"/>
            <w:sz w:val="28"/>
            <w:szCs w:val="28"/>
          </w:rPr>
          <w:t>十一、基金费用</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_Toc124325895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27</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6" w:history="1">
        <w:r>
          <w:rPr>
            <w:rStyle w:val="af"/>
            <w:rFonts w:asciiTheme="minorEastAsia" w:eastAsiaTheme="minorEastAsia" w:hAnsiTheme="minorEastAsia" w:hint="eastAsia"/>
            <w:sz w:val="28"/>
            <w:szCs w:val="28"/>
          </w:rPr>
          <w:t>十二、基金份额持有人名册的保管</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_Toc124325896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29</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7" w:history="1">
        <w:r>
          <w:rPr>
            <w:rStyle w:val="af"/>
            <w:rFonts w:asciiTheme="minorEastAsia" w:eastAsiaTheme="minorEastAsia" w:hAnsiTheme="minorEastAsia" w:hint="eastAsia"/>
            <w:sz w:val="28"/>
            <w:szCs w:val="28"/>
          </w:rPr>
          <w:t>十三、基金有关文件档案的保存</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_Toc124325897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30</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8" w:history="1">
        <w:r>
          <w:rPr>
            <w:rStyle w:val="af"/>
            <w:rFonts w:asciiTheme="minorEastAsia" w:eastAsiaTheme="minorEastAsia" w:hAnsiTheme="minorEastAsia" w:hint="eastAsia"/>
            <w:sz w:val="28"/>
            <w:szCs w:val="28"/>
          </w:rPr>
          <w:t>十四、基金管理人和基金托管人</w:t>
        </w:r>
        <w:r>
          <w:rPr>
            <w:rStyle w:val="af"/>
            <w:rFonts w:asciiTheme="minorEastAsia" w:eastAsiaTheme="minorEastAsia" w:hAnsiTheme="minorEastAsia" w:hint="eastAsia"/>
            <w:sz w:val="28"/>
            <w:szCs w:val="28"/>
          </w:rPr>
          <w:t>的更换</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_Toc124325898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30</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899" w:history="1">
        <w:r>
          <w:rPr>
            <w:rStyle w:val="af"/>
            <w:rFonts w:asciiTheme="minorEastAsia" w:eastAsiaTheme="minorEastAsia" w:hAnsiTheme="minorEastAsia" w:hint="eastAsia"/>
            <w:sz w:val="28"/>
            <w:szCs w:val="28"/>
          </w:rPr>
          <w:t>十五、禁止行为</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_Toc124325899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32</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900" w:history="1">
        <w:r>
          <w:rPr>
            <w:rStyle w:val="af"/>
            <w:rFonts w:asciiTheme="minorEastAsia" w:eastAsiaTheme="minorEastAsia" w:hAnsiTheme="minorEastAsia" w:hint="eastAsia"/>
            <w:sz w:val="28"/>
            <w:szCs w:val="28"/>
          </w:rPr>
          <w:t>十六、托管协议的变更、终止与基金财产的清算</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_Toc124325900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33</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901" w:history="1">
        <w:r>
          <w:rPr>
            <w:rStyle w:val="af"/>
            <w:rFonts w:asciiTheme="minorEastAsia" w:eastAsiaTheme="minorEastAsia" w:hAnsiTheme="minorEastAsia" w:hint="eastAsia"/>
            <w:sz w:val="28"/>
            <w:szCs w:val="28"/>
          </w:rPr>
          <w:t>十七、违约责任</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_Toc124325901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35</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902" w:history="1">
        <w:r>
          <w:rPr>
            <w:rStyle w:val="af"/>
            <w:rFonts w:asciiTheme="minorEastAsia" w:eastAsiaTheme="minorEastAsia" w:hAnsiTheme="minorEastAsia" w:hint="eastAsia"/>
            <w:sz w:val="28"/>
            <w:szCs w:val="28"/>
          </w:rPr>
          <w:t>十八、争议解决方式</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_Toc124325902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36</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903" w:history="1">
        <w:r>
          <w:rPr>
            <w:rStyle w:val="af"/>
            <w:rFonts w:asciiTheme="minorEastAsia" w:eastAsiaTheme="minorEastAsia" w:hAnsiTheme="minorEastAsia" w:hint="eastAsia"/>
            <w:sz w:val="28"/>
            <w:szCs w:val="28"/>
          </w:rPr>
          <w:t>十九、托管协议的效力</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w:instrText>
        </w:r>
        <w:r>
          <w:rPr>
            <w:rFonts w:asciiTheme="minorEastAsia" w:eastAsiaTheme="minorEastAsia" w:hAnsiTheme="minorEastAsia"/>
            <w:sz w:val="28"/>
            <w:szCs w:val="28"/>
          </w:rPr>
          <w:instrText xml:space="preserve">F _Toc124325903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36</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pPr>
      <w:hyperlink w:anchor="_Toc124325904" w:history="1">
        <w:r>
          <w:rPr>
            <w:rStyle w:val="af"/>
            <w:rFonts w:asciiTheme="minorEastAsia" w:eastAsiaTheme="minorEastAsia" w:hAnsiTheme="minorEastAsia" w:hint="eastAsia"/>
            <w:sz w:val="28"/>
            <w:szCs w:val="28"/>
          </w:rPr>
          <w:t>二十、其他事项</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_Toc124325904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37</w:t>
        </w:r>
        <w:r>
          <w:rPr>
            <w:rFonts w:asciiTheme="minorEastAsia" w:eastAsiaTheme="minorEastAsia" w:hAnsiTheme="minorEastAsia" w:hint="eastAsia"/>
            <w:sz w:val="28"/>
            <w:szCs w:val="28"/>
          </w:rPr>
          <w:fldChar w:fldCharType="end"/>
        </w:r>
      </w:hyperlink>
    </w:p>
    <w:p w:rsidR="006109AE" w:rsidRDefault="00754B7E">
      <w:pPr>
        <w:pStyle w:val="21"/>
        <w:tabs>
          <w:tab w:val="right" w:leader="dot" w:pos="8494"/>
        </w:tabs>
        <w:spacing w:line="360" w:lineRule="auto"/>
        <w:rPr>
          <w:rFonts w:asciiTheme="minorEastAsia" w:eastAsiaTheme="minorEastAsia" w:hAnsiTheme="minorEastAsia"/>
          <w:sz w:val="28"/>
          <w:szCs w:val="28"/>
        </w:rPr>
        <w:sectPr w:rsidR="006109AE">
          <w:headerReference w:type="default" r:id="rId9"/>
          <w:footerReference w:type="default" r:id="rId10"/>
          <w:pgSz w:w="11907" w:h="16840"/>
          <w:pgMar w:top="1418" w:right="1559" w:bottom="1418" w:left="1701" w:header="851" w:footer="992" w:gutter="0"/>
          <w:pgNumType w:start="1"/>
          <w:cols w:space="425"/>
          <w:titlePg/>
          <w:docGrid w:type="lines" w:linePitch="312"/>
        </w:sectPr>
      </w:pPr>
      <w:hyperlink w:anchor="_Toc124325905" w:history="1">
        <w:r>
          <w:rPr>
            <w:rStyle w:val="af"/>
            <w:rFonts w:asciiTheme="minorEastAsia" w:eastAsiaTheme="minorEastAsia" w:hAnsiTheme="minorEastAsia" w:hint="eastAsia"/>
            <w:sz w:val="28"/>
            <w:szCs w:val="28"/>
          </w:rPr>
          <w:t>二十一、托管协议的签订</w:t>
        </w:r>
        <w:r>
          <w:rPr>
            <w:rFonts w:asciiTheme="minorEastAsia" w:eastAsiaTheme="minorEastAsia" w:hAnsiTheme="minorEastAsia"/>
            <w:sz w:val="28"/>
            <w:szCs w:val="28"/>
          </w:rPr>
          <w:tab/>
        </w:r>
        <w:r>
          <w:rPr>
            <w:rFonts w:asciiTheme="minorEastAsia" w:eastAsiaTheme="minorEastAsia" w:hAnsiTheme="minorEastAsia" w:hint="eastAsia"/>
            <w:sz w:val="28"/>
            <w:szCs w:val="28"/>
          </w:rPr>
          <w:fldChar w:fldCharType="begin"/>
        </w:r>
        <w:r>
          <w:rPr>
            <w:rFonts w:asciiTheme="minorEastAsia" w:eastAsiaTheme="minorEastAsia" w:hAnsiTheme="minorEastAsia"/>
            <w:sz w:val="28"/>
            <w:szCs w:val="28"/>
          </w:rPr>
          <w:instrText xml:space="preserve"> PAGEREF _Toc124325905 \h </w:instrText>
        </w:r>
        <w:r>
          <w:rPr>
            <w:rFonts w:asciiTheme="minorEastAsia" w:eastAsiaTheme="minorEastAsia" w:hAnsiTheme="minorEastAsia" w:hint="eastAsia"/>
            <w:sz w:val="28"/>
            <w:szCs w:val="28"/>
          </w:rPr>
        </w:r>
        <w:r>
          <w:rPr>
            <w:rFonts w:asciiTheme="minorEastAsia" w:eastAsiaTheme="minorEastAsia" w:hAnsiTheme="minorEastAsia" w:hint="eastAsia"/>
            <w:sz w:val="28"/>
            <w:szCs w:val="28"/>
          </w:rPr>
          <w:fldChar w:fldCharType="separate"/>
        </w:r>
        <w:r>
          <w:rPr>
            <w:rFonts w:asciiTheme="minorEastAsia" w:eastAsiaTheme="minorEastAsia" w:hAnsiTheme="minorEastAsia"/>
            <w:sz w:val="28"/>
            <w:szCs w:val="28"/>
          </w:rPr>
          <w:t>37</w:t>
        </w:r>
        <w:r>
          <w:rPr>
            <w:rFonts w:asciiTheme="minorEastAsia" w:eastAsiaTheme="minorEastAsia" w:hAnsiTheme="minorEastAsia" w:hint="eastAsia"/>
            <w:sz w:val="28"/>
            <w:szCs w:val="28"/>
          </w:rPr>
          <w:fldChar w:fldCharType="end"/>
        </w:r>
      </w:hyperlink>
    </w:p>
    <w:p w:rsidR="006109AE" w:rsidRDefault="00754B7E">
      <w:pPr>
        <w:spacing w:line="360" w:lineRule="auto"/>
        <w:rPr>
          <w:rFonts w:asciiTheme="minorEastAsia" w:eastAsiaTheme="minorEastAsia" w:hAnsiTheme="minorEastAsia"/>
          <w:sz w:val="24"/>
        </w:rPr>
      </w:pPr>
      <w:r>
        <w:rPr>
          <w:rFonts w:asciiTheme="minorEastAsia" w:eastAsiaTheme="minorEastAsia" w:hAnsiTheme="minorEastAsia" w:hint="eastAsia"/>
          <w:sz w:val="28"/>
          <w:szCs w:val="28"/>
        </w:rPr>
        <w:lastRenderedPageBreak/>
        <w:fldChar w:fldCharType="end"/>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鉴于中航基金管理有限公司系一家依照中国法律合法成立并有效存续的有限责任公司，按照相关法律法规的规定具备担任基金管理人的资格和能力，拟募集发行中航</w:t>
      </w:r>
      <w:r>
        <w:rPr>
          <w:rFonts w:asciiTheme="minorEastAsia" w:eastAsiaTheme="minorEastAsia" w:hAnsiTheme="minorEastAsia" w:cs="Arial"/>
          <w:kern w:val="0"/>
          <w:sz w:val="24"/>
        </w:rPr>
        <w:t>创新驱动股票型</w:t>
      </w:r>
      <w:r>
        <w:rPr>
          <w:rFonts w:asciiTheme="minorEastAsia" w:eastAsiaTheme="minorEastAsia" w:hAnsiTheme="minorEastAsia" w:cs="Arial" w:hint="eastAsia"/>
          <w:kern w:val="0"/>
          <w:sz w:val="24"/>
        </w:rPr>
        <w:t>证券投资基金；</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鉴于中航基金管理有限公司拟担任中航</w:t>
      </w:r>
      <w:r>
        <w:rPr>
          <w:rFonts w:asciiTheme="minorEastAsia" w:eastAsiaTheme="minorEastAsia" w:hAnsiTheme="minorEastAsia" w:cs="Arial"/>
          <w:kern w:val="0"/>
          <w:sz w:val="24"/>
        </w:rPr>
        <w:t>创新驱动股票型</w:t>
      </w:r>
      <w:r>
        <w:rPr>
          <w:rFonts w:asciiTheme="minorEastAsia" w:eastAsiaTheme="minorEastAsia" w:hAnsiTheme="minorEastAsia" w:cs="Arial" w:hint="eastAsia"/>
          <w:kern w:val="0"/>
          <w:sz w:val="24"/>
        </w:rPr>
        <w:t>证券投资基金的基金</w:t>
      </w:r>
      <w:r>
        <w:rPr>
          <w:rFonts w:asciiTheme="minorEastAsia" w:eastAsiaTheme="minorEastAsia" w:hAnsiTheme="minorEastAsia" w:cs="Arial" w:hint="eastAsia"/>
          <w:kern w:val="0"/>
          <w:sz w:val="24"/>
        </w:rPr>
        <w:t>管理人，中国建设银行股份有限公司拟担任中航</w:t>
      </w:r>
      <w:r>
        <w:rPr>
          <w:rFonts w:asciiTheme="minorEastAsia" w:eastAsiaTheme="minorEastAsia" w:hAnsiTheme="minorEastAsia" w:cs="Arial"/>
          <w:kern w:val="0"/>
          <w:sz w:val="24"/>
        </w:rPr>
        <w:t>创新驱动股票型</w:t>
      </w:r>
      <w:r>
        <w:rPr>
          <w:rFonts w:asciiTheme="minorEastAsia" w:eastAsiaTheme="minorEastAsia" w:hAnsiTheme="minorEastAsia" w:cs="Arial" w:hint="eastAsia"/>
          <w:kern w:val="0"/>
          <w:sz w:val="24"/>
        </w:rPr>
        <w:t>证券投资基金的基金托管人；</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为明确中航</w:t>
      </w:r>
      <w:r>
        <w:rPr>
          <w:rFonts w:asciiTheme="minorEastAsia" w:eastAsiaTheme="minorEastAsia" w:hAnsiTheme="minorEastAsia" w:cs="Arial"/>
          <w:kern w:val="0"/>
          <w:sz w:val="24"/>
        </w:rPr>
        <w:t>创新驱动股票型</w:t>
      </w:r>
      <w:r>
        <w:rPr>
          <w:rFonts w:asciiTheme="minorEastAsia" w:eastAsiaTheme="minorEastAsia" w:hAnsiTheme="minorEastAsia" w:cs="Arial" w:hint="eastAsia"/>
          <w:kern w:val="0"/>
          <w:sz w:val="24"/>
        </w:rPr>
        <w:t>证券投资基金（以下</w:t>
      </w:r>
      <w:r>
        <w:rPr>
          <w:rFonts w:asciiTheme="minorEastAsia" w:eastAsiaTheme="minorEastAsia" w:hAnsiTheme="minorEastAsia" w:cs="Arial"/>
          <w:kern w:val="0"/>
          <w:sz w:val="24"/>
        </w:rPr>
        <w:t>简称</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本</w:t>
      </w:r>
      <w:r>
        <w:rPr>
          <w:rFonts w:asciiTheme="minorEastAsia" w:eastAsiaTheme="minorEastAsia" w:hAnsiTheme="minorEastAsia" w:cs="Arial"/>
          <w:kern w:val="0"/>
          <w:sz w:val="24"/>
        </w:rPr>
        <w:t>基金</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）的基金管理人和基金托管人之间的权利义务关系，特制订本托管协议；</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Pr>
          <w:rFonts w:asciiTheme="minorEastAsia" w:eastAsiaTheme="minorEastAsia" w:hAnsiTheme="minorEastAsia" w:cs="Arial" w:hint="eastAsia"/>
          <w:kern w:val="0"/>
          <w:sz w:val="24"/>
          <w:lang w:val="en-GB"/>
        </w:rPr>
        <w:t>除非另有约定，《</w:t>
      </w:r>
      <w:r>
        <w:rPr>
          <w:rFonts w:asciiTheme="minorEastAsia" w:eastAsiaTheme="minorEastAsia" w:hAnsiTheme="minorEastAsia" w:cs="Arial" w:hint="eastAsia"/>
          <w:kern w:val="0"/>
          <w:sz w:val="24"/>
        </w:rPr>
        <w:t>中航</w:t>
      </w:r>
      <w:r>
        <w:rPr>
          <w:rFonts w:asciiTheme="minorEastAsia" w:eastAsiaTheme="minorEastAsia" w:hAnsiTheme="minorEastAsia" w:cs="Arial"/>
          <w:kern w:val="0"/>
          <w:sz w:val="24"/>
        </w:rPr>
        <w:t>创新驱动股票型</w:t>
      </w:r>
      <w:r>
        <w:rPr>
          <w:rFonts w:asciiTheme="minorEastAsia" w:eastAsiaTheme="minorEastAsia" w:hAnsiTheme="minorEastAsia" w:cs="Arial" w:hint="eastAsia"/>
          <w:kern w:val="0"/>
          <w:sz w:val="24"/>
          <w:lang w:val="en-GB"/>
        </w:rPr>
        <w:t>证券投资基金基金合同》</w:t>
      </w:r>
      <w:r>
        <w:rPr>
          <w:rFonts w:asciiTheme="minorEastAsia" w:eastAsiaTheme="minorEastAsia" w:hAnsiTheme="minorEastAsia" w:cs="Arial" w:hint="eastAsia"/>
          <w:kern w:val="0"/>
          <w:sz w:val="24"/>
          <w:lang w:val="en-GB"/>
        </w:rPr>
        <w:t>(</w:t>
      </w:r>
      <w:r>
        <w:rPr>
          <w:rFonts w:asciiTheme="minorEastAsia" w:eastAsiaTheme="minorEastAsia" w:hAnsiTheme="minorEastAsia" w:cs="Arial" w:hint="eastAsia"/>
          <w:kern w:val="0"/>
          <w:sz w:val="24"/>
          <w:lang w:val="en-GB"/>
        </w:rPr>
        <w:t>以下简称“基金合同”</w:t>
      </w:r>
      <w:r>
        <w:rPr>
          <w:rFonts w:asciiTheme="minorEastAsia" w:eastAsiaTheme="minorEastAsia" w:hAnsiTheme="minorEastAsia" w:cs="Arial" w:hint="eastAsia"/>
          <w:kern w:val="0"/>
          <w:sz w:val="24"/>
          <w:lang w:val="en-GB"/>
        </w:rPr>
        <w:t>)</w:t>
      </w:r>
      <w:r>
        <w:rPr>
          <w:rFonts w:asciiTheme="minorEastAsia" w:eastAsiaTheme="minorEastAsia" w:hAnsiTheme="minorEastAsia" w:cs="Arial" w:hint="eastAsia"/>
          <w:kern w:val="0"/>
          <w:sz w:val="24"/>
          <w:lang w:val="en-GB"/>
        </w:rPr>
        <w:t>中定义的术语在用于本托管协议时应具有相同的含义；若有抵触应以《基金合同》为准，并依其</w:t>
      </w:r>
      <w:r>
        <w:rPr>
          <w:rFonts w:asciiTheme="minorEastAsia" w:eastAsiaTheme="minorEastAsia" w:hAnsiTheme="minorEastAsia" w:cs="Arial" w:hint="eastAsia"/>
          <w:kern w:val="0"/>
          <w:sz w:val="24"/>
        </w:rPr>
        <w:t>条款</w:t>
      </w:r>
      <w:r>
        <w:rPr>
          <w:rFonts w:asciiTheme="minorEastAsia" w:eastAsiaTheme="minorEastAsia" w:hAnsiTheme="minorEastAsia" w:cs="Arial" w:hint="eastAsia"/>
          <w:kern w:val="0"/>
          <w:sz w:val="24"/>
          <w:lang w:val="en-GB"/>
        </w:rPr>
        <w:t>解释。</w:t>
      </w:r>
    </w:p>
    <w:p w:rsidR="006109AE" w:rsidRDefault="006109AE">
      <w:pPr>
        <w:spacing w:line="360" w:lineRule="auto"/>
        <w:rPr>
          <w:rFonts w:asciiTheme="minorEastAsia" w:eastAsiaTheme="minorEastAsia" w:hAnsiTheme="minorEastAsia"/>
          <w:sz w:val="24"/>
          <w:lang w:val="en-GB"/>
        </w:rPr>
      </w:pPr>
    </w:p>
    <w:p w:rsidR="006109AE" w:rsidRDefault="00754B7E">
      <w:pPr>
        <w:pStyle w:val="2"/>
        <w:spacing w:line="360" w:lineRule="auto"/>
        <w:jc w:val="center"/>
        <w:rPr>
          <w:rFonts w:asciiTheme="minorEastAsia" w:eastAsiaTheme="minorEastAsia" w:hAnsiTheme="minorEastAsia"/>
        </w:rPr>
      </w:pPr>
      <w:bookmarkStart w:id="0" w:name="_Toc124325885"/>
      <w:r>
        <w:rPr>
          <w:rFonts w:asciiTheme="minorEastAsia" w:eastAsiaTheme="minorEastAsia" w:hAnsiTheme="minorEastAsia" w:hint="eastAsia"/>
        </w:rPr>
        <w:t>一、基金托管协议当事人</w:t>
      </w:r>
      <w:bookmarkEnd w:id="0"/>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（一）基金管理人</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名称：中航基金管理有限公司</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注册地址：北京市朝阳区安立路</w:t>
      </w:r>
      <w:r>
        <w:rPr>
          <w:rFonts w:asciiTheme="minorEastAsia" w:eastAsiaTheme="minorEastAsia" w:hAnsiTheme="minorEastAsia" w:cs="Arial" w:hint="eastAsia"/>
          <w:kern w:val="0"/>
          <w:sz w:val="24"/>
        </w:rPr>
        <w:t>78</w:t>
      </w:r>
      <w:r>
        <w:rPr>
          <w:rFonts w:asciiTheme="minorEastAsia" w:eastAsiaTheme="minorEastAsia" w:hAnsiTheme="minorEastAsia" w:cs="Arial" w:hint="eastAsia"/>
          <w:kern w:val="0"/>
          <w:sz w:val="24"/>
        </w:rPr>
        <w:t>、</w:t>
      </w:r>
      <w:r>
        <w:rPr>
          <w:rFonts w:asciiTheme="minorEastAsia" w:eastAsiaTheme="minorEastAsia" w:hAnsiTheme="minorEastAsia" w:cs="Arial" w:hint="eastAsia"/>
          <w:kern w:val="0"/>
          <w:sz w:val="24"/>
        </w:rPr>
        <w:t>80</w:t>
      </w:r>
      <w:r>
        <w:rPr>
          <w:rFonts w:asciiTheme="minorEastAsia" w:eastAsiaTheme="minorEastAsia" w:hAnsiTheme="minorEastAsia" w:cs="Arial" w:hint="eastAsia"/>
          <w:kern w:val="0"/>
          <w:sz w:val="24"/>
        </w:rPr>
        <w:t>号</w:t>
      </w:r>
      <w:r>
        <w:rPr>
          <w:rFonts w:asciiTheme="minorEastAsia" w:eastAsiaTheme="minorEastAsia" w:hAnsiTheme="minorEastAsia" w:cs="Arial" w:hint="eastAsia"/>
          <w:kern w:val="0"/>
          <w:sz w:val="24"/>
        </w:rPr>
        <w:t>11</w:t>
      </w:r>
      <w:r>
        <w:rPr>
          <w:rFonts w:asciiTheme="minorEastAsia" w:eastAsiaTheme="minorEastAsia" w:hAnsiTheme="minorEastAsia" w:cs="Arial" w:hint="eastAsia"/>
          <w:kern w:val="0"/>
          <w:sz w:val="24"/>
        </w:rPr>
        <w:t>层</w:t>
      </w:r>
      <w:r>
        <w:rPr>
          <w:rFonts w:asciiTheme="minorEastAsia" w:eastAsiaTheme="minorEastAsia" w:hAnsiTheme="minorEastAsia" w:cs="Arial" w:hint="eastAsia"/>
          <w:kern w:val="0"/>
          <w:sz w:val="24"/>
        </w:rPr>
        <w:t>1101</w:t>
      </w:r>
      <w:r>
        <w:rPr>
          <w:rFonts w:asciiTheme="minorEastAsia" w:eastAsiaTheme="minorEastAsia" w:hAnsiTheme="minorEastAsia" w:cs="Arial" w:hint="eastAsia"/>
          <w:kern w:val="0"/>
          <w:sz w:val="24"/>
        </w:rPr>
        <w:t>内</w:t>
      </w:r>
      <w:r>
        <w:rPr>
          <w:rFonts w:asciiTheme="minorEastAsia" w:eastAsiaTheme="minorEastAsia" w:hAnsiTheme="minorEastAsia" w:cs="Arial" w:hint="eastAsia"/>
          <w:kern w:val="0"/>
          <w:sz w:val="24"/>
        </w:rPr>
        <w:t>1105</w:t>
      </w:r>
      <w:r>
        <w:rPr>
          <w:rFonts w:asciiTheme="minorEastAsia" w:eastAsiaTheme="minorEastAsia" w:hAnsiTheme="minorEastAsia" w:cs="Arial" w:hint="eastAsia"/>
          <w:kern w:val="0"/>
          <w:sz w:val="24"/>
        </w:rPr>
        <w:t>室</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办公地址：北京市朝阳区安立路</w:t>
      </w:r>
      <w:r>
        <w:rPr>
          <w:rFonts w:asciiTheme="minorEastAsia" w:eastAsiaTheme="minorEastAsia" w:hAnsiTheme="minorEastAsia" w:cs="Arial" w:hint="eastAsia"/>
          <w:kern w:val="0"/>
          <w:sz w:val="24"/>
        </w:rPr>
        <w:t>78</w:t>
      </w:r>
      <w:r>
        <w:rPr>
          <w:rFonts w:asciiTheme="minorEastAsia" w:eastAsiaTheme="minorEastAsia" w:hAnsiTheme="minorEastAsia" w:cs="Arial" w:hint="eastAsia"/>
          <w:kern w:val="0"/>
          <w:sz w:val="24"/>
        </w:rPr>
        <w:t>、</w:t>
      </w:r>
      <w:r>
        <w:rPr>
          <w:rFonts w:asciiTheme="minorEastAsia" w:eastAsiaTheme="minorEastAsia" w:hAnsiTheme="minorEastAsia" w:cs="Arial" w:hint="eastAsia"/>
          <w:kern w:val="0"/>
          <w:sz w:val="24"/>
        </w:rPr>
        <w:t>80</w:t>
      </w:r>
      <w:r>
        <w:rPr>
          <w:rFonts w:asciiTheme="minorEastAsia" w:eastAsiaTheme="minorEastAsia" w:hAnsiTheme="minorEastAsia" w:cs="Arial" w:hint="eastAsia"/>
          <w:kern w:val="0"/>
          <w:sz w:val="24"/>
        </w:rPr>
        <w:t>号</w:t>
      </w:r>
      <w:r>
        <w:rPr>
          <w:rFonts w:asciiTheme="minorEastAsia" w:eastAsiaTheme="minorEastAsia" w:hAnsiTheme="minorEastAsia" w:cs="Arial" w:hint="eastAsia"/>
          <w:kern w:val="0"/>
          <w:sz w:val="24"/>
        </w:rPr>
        <w:t>11</w:t>
      </w:r>
      <w:r>
        <w:rPr>
          <w:rFonts w:asciiTheme="minorEastAsia" w:eastAsiaTheme="minorEastAsia" w:hAnsiTheme="minorEastAsia" w:cs="Arial" w:hint="eastAsia"/>
          <w:kern w:val="0"/>
          <w:sz w:val="24"/>
        </w:rPr>
        <w:t>层</w:t>
      </w:r>
      <w:r>
        <w:rPr>
          <w:rFonts w:asciiTheme="minorEastAsia" w:eastAsiaTheme="minorEastAsia" w:hAnsiTheme="minorEastAsia" w:cs="Arial" w:hint="eastAsia"/>
          <w:kern w:val="0"/>
          <w:sz w:val="24"/>
        </w:rPr>
        <w:t>1101</w:t>
      </w:r>
      <w:r>
        <w:rPr>
          <w:rFonts w:asciiTheme="minorEastAsia" w:eastAsiaTheme="minorEastAsia" w:hAnsiTheme="minorEastAsia" w:cs="Arial" w:hint="eastAsia"/>
          <w:kern w:val="0"/>
          <w:sz w:val="24"/>
        </w:rPr>
        <w:t>内</w:t>
      </w:r>
      <w:r>
        <w:rPr>
          <w:rFonts w:asciiTheme="minorEastAsia" w:eastAsiaTheme="minorEastAsia" w:hAnsiTheme="minorEastAsia" w:cs="Arial" w:hint="eastAsia"/>
          <w:kern w:val="0"/>
          <w:sz w:val="24"/>
        </w:rPr>
        <w:t>1105</w:t>
      </w:r>
      <w:r>
        <w:rPr>
          <w:rFonts w:asciiTheme="minorEastAsia" w:eastAsiaTheme="minorEastAsia" w:hAnsiTheme="minorEastAsia" w:cs="Arial" w:hint="eastAsia"/>
          <w:kern w:val="0"/>
          <w:sz w:val="24"/>
        </w:rPr>
        <w:t>室</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邮政编码：</w:t>
      </w:r>
      <w:r>
        <w:rPr>
          <w:rFonts w:asciiTheme="minorEastAsia" w:eastAsiaTheme="minorEastAsia" w:hAnsiTheme="minorEastAsia" w:cs="Arial" w:hint="eastAsia"/>
          <w:kern w:val="0"/>
          <w:sz w:val="24"/>
        </w:rPr>
        <w:t>100101</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法定代表人：洪正华</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成立日期：</w:t>
      </w:r>
      <w:r>
        <w:rPr>
          <w:rFonts w:asciiTheme="minorEastAsia" w:eastAsiaTheme="minorEastAsia" w:hAnsiTheme="minorEastAsia" w:cs="Arial"/>
          <w:kern w:val="0"/>
          <w:sz w:val="24"/>
        </w:rPr>
        <w:t>2016</w:t>
      </w:r>
      <w:r>
        <w:rPr>
          <w:rFonts w:asciiTheme="minorEastAsia" w:eastAsiaTheme="minorEastAsia" w:hAnsiTheme="minorEastAsia" w:cs="Arial"/>
          <w:kern w:val="0"/>
          <w:sz w:val="24"/>
        </w:rPr>
        <w:t>年</w:t>
      </w:r>
      <w:r>
        <w:rPr>
          <w:rFonts w:asciiTheme="minorEastAsia" w:eastAsiaTheme="minorEastAsia" w:hAnsiTheme="minorEastAsia" w:cs="Arial" w:hint="eastAsia"/>
          <w:kern w:val="0"/>
          <w:sz w:val="24"/>
        </w:rPr>
        <w:t>6</w:t>
      </w:r>
      <w:r>
        <w:rPr>
          <w:rFonts w:asciiTheme="minorEastAsia" w:eastAsiaTheme="minorEastAsia" w:hAnsiTheme="minorEastAsia" w:cs="Arial" w:hint="eastAsia"/>
          <w:kern w:val="0"/>
          <w:sz w:val="24"/>
        </w:rPr>
        <w:t>月</w:t>
      </w:r>
      <w:r>
        <w:rPr>
          <w:rFonts w:asciiTheme="minorEastAsia" w:eastAsiaTheme="minorEastAsia" w:hAnsiTheme="minorEastAsia" w:cs="Arial" w:hint="eastAsia"/>
          <w:kern w:val="0"/>
          <w:sz w:val="24"/>
        </w:rPr>
        <w:t>16</w:t>
      </w:r>
      <w:r>
        <w:rPr>
          <w:rFonts w:asciiTheme="minorEastAsia" w:eastAsiaTheme="minorEastAsia" w:hAnsiTheme="minorEastAsia" w:cs="Arial" w:hint="eastAsia"/>
          <w:kern w:val="0"/>
          <w:sz w:val="24"/>
        </w:rPr>
        <w:t>日</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批准设立机关及批准设立文号：中国证监会</w:t>
      </w:r>
      <w:r>
        <w:rPr>
          <w:rFonts w:asciiTheme="minorEastAsia" w:eastAsiaTheme="minorEastAsia" w:hAnsiTheme="minorEastAsia" w:cs="Arial"/>
          <w:kern w:val="0"/>
          <w:sz w:val="24"/>
        </w:rPr>
        <w:t>证监许可</w:t>
      </w:r>
      <w:r>
        <w:rPr>
          <w:rFonts w:asciiTheme="minorEastAsia" w:eastAsiaTheme="minorEastAsia" w:hAnsiTheme="minorEastAsia" w:cs="Arial" w:hint="eastAsia"/>
          <w:kern w:val="0"/>
          <w:sz w:val="24"/>
        </w:rPr>
        <w:t>[2016]1249</w:t>
      </w:r>
      <w:r>
        <w:rPr>
          <w:rFonts w:asciiTheme="minorEastAsia" w:eastAsiaTheme="minorEastAsia" w:hAnsiTheme="minorEastAsia" w:cs="Arial" w:hint="eastAsia"/>
          <w:kern w:val="0"/>
          <w:sz w:val="24"/>
        </w:rPr>
        <w:t>号</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组织形式：有限责任公司</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注册资本：人民币</w:t>
      </w:r>
      <w:r>
        <w:rPr>
          <w:rFonts w:asciiTheme="minorEastAsia" w:eastAsiaTheme="minorEastAsia" w:hAnsiTheme="minorEastAsia" w:cs="Arial"/>
          <w:kern w:val="0"/>
          <w:sz w:val="24"/>
        </w:rPr>
        <w:t>1</w:t>
      </w:r>
      <w:r>
        <w:rPr>
          <w:rFonts w:asciiTheme="minorEastAsia" w:eastAsiaTheme="minorEastAsia" w:hAnsiTheme="minorEastAsia" w:cs="Arial" w:hint="eastAsia"/>
          <w:kern w:val="0"/>
          <w:sz w:val="24"/>
        </w:rPr>
        <w:t>亿</w:t>
      </w:r>
      <w:r>
        <w:rPr>
          <w:rFonts w:hint="eastAsia"/>
          <w:kern w:val="0"/>
          <w:sz w:val="24"/>
        </w:rPr>
        <w:t>元</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存续期间：持续经营</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lastRenderedPageBreak/>
        <w:t>经营范围：基金募集、基金销售、特定客户资产管理、资产管理和中国证监会许可的其他业务。（企业依法自主选择经营项目，开展经营活动；依法须经批准的项目，经相关部门批准后依批准的内容开展经营活动；不得从事本市产业政策禁止和限制类项目的经营活动。）</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（二）基金托管人</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名称：中国建设银行股份有限公司</w:t>
      </w:r>
      <w:r>
        <w:rPr>
          <w:rFonts w:asciiTheme="minorEastAsia" w:eastAsiaTheme="minorEastAsia" w:hAnsiTheme="minorEastAsia" w:cs="Arial"/>
          <w:kern w:val="0"/>
          <w:sz w:val="24"/>
        </w:rPr>
        <w:t>(</w:t>
      </w:r>
      <w:r>
        <w:rPr>
          <w:rFonts w:asciiTheme="minorEastAsia" w:eastAsiaTheme="minorEastAsia" w:hAnsiTheme="minorEastAsia" w:cs="Arial"/>
          <w:kern w:val="0"/>
          <w:sz w:val="24"/>
        </w:rPr>
        <w:t>简称：中国建设银行</w:t>
      </w:r>
      <w:r>
        <w:rPr>
          <w:rFonts w:asciiTheme="minorEastAsia" w:eastAsiaTheme="minorEastAsia" w:hAnsiTheme="minorEastAsia" w:cs="Arial"/>
          <w:kern w:val="0"/>
          <w:sz w:val="24"/>
        </w:rPr>
        <w:t>)</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住所：北京市西城区金融大街</w:t>
      </w:r>
      <w:r>
        <w:rPr>
          <w:rFonts w:asciiTheme="minorEastAsia" w:eastAsiaTheme="minorEastAsia" w:hAnsiTheme="minorEastAsia" w:cs="Arial"/>
          <w:kern w:val="0"/>
          <w:sz w:val="24"/>
        </w:rPr>
        <w:t>25</w:t>
      </w:r>
      <w:r>
        <w:rPr>
          <w:rFonts w:asciiTheme="minorEastAsia" w:eastAsiaTheme="minorEastAsia" w:hAnsiTheme="minorEastAsia" w:cs="Arial"/>
          <w:kern w:val="0"/>
          <w:sz w:val="24"/>
        </w:rPr>
        <w:t>号</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办公地址：北京市西城区闹市口大街</w:t>
      </w:r>
      <w:r>
        <w:rPr>
          <w:rFonts w:asciiTheme="minorEastAsia" w:eastAsiaTheme="minorEastAsia" w:hAnsiTheme="minorEastAsia" w:cs="Arial"/>
          <w:kern w:val="0"/>
          <w:sz w:val="24"/>
        </w:rPr>
        <w:t>1</w:t>
      </w:r>
      <w:r>
        <w:rPr>
          <w:rFonts w:asciiTheme="minorEastAsia" w:eastAsiaTheme="minorEastAsia" w:hAnsiTheme="minorEastAsia" w:cs="Arial"/>
          <w:kern w:val="0"/>
          <w:sz w:val="24"/>
        </w:rPr>
        <w:t>号院</w:t>
      </w:r>
      <w:r>
        <w:rPr>
          <w:rFonts w:asciiTheme="minorEastAsia" w:eastAsiaTheme="minorEastAsia" w:hAnsiTheme="minorEastAsia" w:cs="Arial"/>
          <w:kern w:val="0"/>
          <w:sz w:val="24"/>
        </w:rPr>
        <w:t>1</w:t>
      </w:r>
      <w:r>
        <w:rPr>
          <w:rFonts w:asciiTheme="minorEastAsia" w:eastAsiaTheme="minorEastAsia" w:hAnsiTheme="minorEastAsia" w:cs="Arial"/>
          <w:kern w:val="0"/>
          <w:sz w:val="24"/>
        </w:rPr>
        <w:t>号楼</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邮政编码：</w:t>
      </w:r>
      <w:r>
        <w:rPr>
          <w:rFonts w:asciiTheme="minorEastAsia" w:eastAsiaTheme="minorEastAsia" w:hAnsiTheme="minorEastAsia" w:cs="Arial"/>
          <w:kern w:val="0"/>
          <w:sz w:val="24"/>
        </w:rPr>
        <w:t>100033</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法定代表人：田国立</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成立日期：</w:t>
      </w:r>
      <w:r>
        <w:rPr>
          <w:rFonts w:asciiTheme="minorEastAsia" w:eastAsiaTheme="minorEastAsia" w:hAnsiTheme="minorEastAsia" w:cs="Arial"/>
          <w:kern w:val="0"/>
          <w:sz w:val="24"/>
        </w:rPr>
        <w:t>2004</w:t>
      </w:r>
      <w:r>
        <w:rPr>
          <w:rFonts w:asciiTheme="minorEastAsia" w:eastAsiaTheme="minorEastAsia" w:hAnsiTheme="minorEastAsia" w:cs="Arial"/>
          <w:kern w:val="0"/>
          <w:sz w:val="24"/>
        </w:rPr>
        <w:t>年</w:t>
      </w:r>
      <w:r>
        <w:rPr>
          <w:rFonts w:asciiTheme="minorEastAsia" w:eastAsiaTheme="minorEastAsia" w:hAnsiTheme="minorEastAsia" w:cs="Arial"/>
          <w:kern w:val="0"/>
          <w:sz w:val="24"/>
        </w:rPr>
        <w:t>09</w:t>
      </w:r>
      <w:r>
        <w:rPr>
          <w:rFonts w:asciiTheme="minorEastAsia" w:eastAsiaTheme="minorEastAsia" w:hAnsiTheme="minorEastAsia" w:cs="Arial"/>
          <w:kern w:val="0"/>
          <w:sz w:val="24"/>
        </w:rPr>
        <w:t>月</w:t>
      </w:r>
      <w:r>
        <w:rPr>
          <w:rFonts w:asciiTheme="minorEastAsia" w:eastAsiaTheme="minorEastAsia" w:hAnsiTheme="minorEastAsia" w:cs="Arial"/>
          <w:kern w:val="0"/>
          <w:sz w:val="24"/>
        </w:rPr>
        <w:t>17</w:t>
      </w:r>
      <w:r>
        <w:rPr>
          <w:rFonts w:asciiTheme="minorEastAsia" w:eastAsiaTheme="minorEastAsia" w:hAnsiTheme="minorEastAsia" w:cs="Arial"/>
          <w:kern w:val="0"/>
          <w:sz w:val="24"/>
        </w:rPr>
        <w:t>日</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基金托管业务批准文号：中国证监会证监基字</w:t>
      </w:r>
      <w:r>
        <w:rPr>
          <w:rFonts w:asciiTheme="minorEastAsia" w:eastAsiaTheme="minorEastAsia" w:hAnsiTheme="minorEastAsia" w:cs="Arial"/>
          <w:kern w:val="0"/>
          <w:sz w:val="24"/>
        </w:rPr>
        <w:t>[1998</w:t>
      </w:r>
      <w:bookmarkStart w:id="1" w:name="OLE_LINK3"/>
      <w:r>
        <w:rPr>
          <w:rFonts w:asciiTheme="minorEastAsia" w:eastAsiaTheme="minorEastAsia" w:hAnsiTheme="minorEastAsia" w:cs="Arial"/>
          <w:kern w:val="0"/>
          <w:sz w:val="24"/>
        </w:rPr>
        <w:t>]</w:t>
      </w:r>
      <w:bookmarkEnd w:id="1"/>
      <w:r>
        <w:rPr>
          <w:rFonts w:asciiTheme="minorEastAsia" w:eastAsiaTheme="minorEastAsia" w:hAnsiTheme="minorEastAsia" w:cs="Arial"/>
          <w:kern w:val="0"/>
          <w:sz w:val="24"/>
        </w:rPr>
        <w:t>12</w:t>
      </w:r>
      <w:r>
        <w:rPr>
          <w:rFonts w:asciiTheme="minorEastAsia" w:eastAsiaTheme="minorEastAsia" w:hAnsiTheme="minorEastAsia" w:cs="Arial"/>
          <w:kern w:val="0"/>
          <w:sz w:val="24"/>
        </w:rPr>
        <w:t>号</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组织形式：股份有限公司</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注册资本：贰仟伍佰亿壹仟零玖拾柒万柒仟肆佰捌拾陆元整</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存续期间：持续经营</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109AE" w:rsidRDefault="006109AE">
      <w:pPr>
        <w:spacing w:line="360" w:lineRule="auto"/>
        <w:rPr>
          <w:rFonts w:asciiTheme="minorEastAsia" w:eastAsiaTheme="minorEastAsia" w:hAnsiTheme="minorEastAsia"/>
          <w:sz w:val="24"/>
        </w:rPr>
      </w:pPr>
    </w:p>
    <w:p w:rsidR="006109AE" w:rsidRDefault="00754B7E">
      <w:pPr>
        <w:pStyle w:val="2"/>
        <w:spacing w:line="360" w:lineRule="auto"/>
        <w:jc w:val="center"/>
        <w:rPr>
          <w:rFonts w:asciiTheme="minorEastAsia" w:eastAsiaTheme="minorEastAsia" w:hAnsiTheme="minorEastAsia"/>
          <w:sz w:val="30"/>
        </w:rPr>
      </w:pPr>
      <w:bookmarkStart w:id="2" w:name="_Toc124325886"/>
      <w:r>
        <w:rPr>
          <w:rFonts w:asciiTheme="minorEastAsia" w:eastAsiaTheme="minorEastAsia" w:hAnsiTheme="minorEastAsia" w:hint="eastAsia"/>
          <w:sz w:val="30"/>
        </w:rPr>
        <w:t>二、基金托管协议的依据、目的和原则</w:t>
      </w:r>
      <w:bookmarkEnd w:id="2"/>
    </w:p>
    <w:p w:rsidR="006109AE" w:rsidRDefault="00754B7E">
      <w:pPr>
        <w:adjustRightInd w:val="0"/>
        <w:snapToGrid w:val="0"/>
        <w:spacing w:line="360" w:lineRule="auto"/>
        <w:ind w:firstLineChars="200" w:firstLine="480"/>
        <w:rPr>
          <w:rFonts w:asciiTheme="minorEastAsia" w:eastAsiaTheme="minorEastAsia" w:hAnsiTheme="minorEastAsia"/>
          <w:sz w:val="24"/>
          <w:szCs w:val="30"/>
        </w:rPr>
      </w:pPr>
      <w:r>
        <w:rPr>
          <w:rFonts w:asciiTheme="minorEastAsia" w:eastAsiaTheme="minorEastAsia" w:hAnsiTheme="minorEastAsia" w:cs="Arial" w:hint="eastAsia"/>
          <w:sz w:val="24"/>
        </w:rPr>
        <w:t>（一）订立托管协议的依据</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本协</w:t>
      </w:r>
      <w:r>
        <w:rPr>
          <w:rFonts w:asciiTheme="minorEastAsia" w:eastAsiaTheme="minorEastAsia" w:hAnsiTheme="minorEastAsia" w:cs="Arial" w:hint="eastAsia"/>
          <w:kern w:val="0"/>
          <w:sz w:val="24"/>
        </w:rPr>
        <w:t>议依据《中华人民共和国证券投资基金法》</w:t>
      </w:r>
      <w:r>
        <w:rPr>
          <w:rFonts w:asciiTheme="minorEastAsia" w:eastAsiaTheme="minorEastAsia" w:hAnsiTheme="minorEastAsia" w:cs="Arial" w:hint="eastAsia"/>
          <w:kern w:val="0"/>
          <w:sz w:val="24"/>
        </w:rPr>
        <w:t>(</w:t>
      </w:r>
      <w:r>
        <w:rPr>
          <w:rFonts w:asciiTheme="minorEastAsia" w:eastAsiaTheme="minorEastAsia" w:hAnsiTheme="minorEastAsia" w:cs="Arial" w:hint="eastAsia"/>
          <w:kern w:val="0"/>
          <w:sz w:val="24"/>
        </w:rPr>
        <w:t>以下简称“《基金法》”</w:t>
      </w:r>
      <w:r>
        <w:rPr>
          <w:rFonts w:asciiTheme="minorEastAsia" w:eastAsiaTheme="minorEastAsia" w:hAnsiTheme="minorEastAsia" w:cs="Arial" w:hint="eastAsia"/>
          <w:kern w:val="0"/>
          <w:sz w:val="24"/>
        </w:rPr>
        <w:t>)</w:t>
      </w:r>
      <w:r>
        <w:rPr>
          <w:rFonts w:asciiTheme="minorEastAsia" w:eastAsiaTheme="minorEastAsia" w:hAnsiTheme="minorEastAsia" w:cs="Arial" w:hint="eastAsia"/>
          <w:kern w:val="0"/>
          <w:sz w:val="24"/>
        </w:rPr>
        <w:t>等有关法律法规、《基金合同》及其他有关规定制订。</w:t>
      </w:r>
    </w:p>
    <w:p w:rsidR="006109AE" w:rsidRDefault="00754B7E">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（二）订立托管协议的目的</w:t>
      </w:r>
    </w:p>
    <w:p w:rsidR="006109AE" w:rsidRDefault="00754B7E">
      <w:pPr>
        <w:widowControl/>
        <w:adjustRightInd w:val="0"/>
        <w:snapToGrid w:val="0"/>
        <w:spacing w:line="360" w:lineRule="auto"/>
        <w:ind w:firstLineChars="200" w:firstLine="480"/>
        <w:rPr>
          <w:rFonts w:asciiTheme="minorEastAsia" w:eastAsiaTheme="minorEastAsia" w:hAnsiTheme="minorEastAsia"/>
          <w:sz w:val="24"/>
          <w:szCs w:val="30"/>
        </w:rPr>
      </w:pPr>
      <w:r>
        <w:rPr>
          <w:rFonts w:asciiTheme="minorEastAsia" w:eastAsiaTheme="minorEastAsia" w:hAnsiTheme="minorEastAsia" w:cs="Arial" w:hint="eastAsia"/>
          <w:kern w:val="0"/>
          <w:sz w:val="24"/>
        </w:rPr>
        <w:lastRenderedPageBreak/>
        <w:t>订立本协议的目的是明确基金管理人与基金托管人之间在基金财产的保管、</w:t>
      </w:r>
      <w:r>
        <w:rPr>
          <w:rFonts w:asciiTheme="minorEastAsia" w:eastAsiaTheme="minorEastAsia" w:hAnsiTheme="minorEastAsia" w:cs="Arial" w:hint="eastAsia"/>
          <w:sz w:val="24"/>
        </w:rPr>
        <w:t>投资运作、净值计算、收益分配、信息披露及相互监督等相关事宜中的权利义务及职责，确保基金财产的安全，保护基金份额持有人的合法权益。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（三）订立托管协议的原则</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rsidR="006109AE" w:rsidRDefault="006109AE">
      <w:pPr>
        <w:spacing w:line="360" w:lineRule="auto"/>
        <w:rPr>
          <w:rFonts w:asciiTheme="minorEastAsia" w:eastAsiaTheme="minorEastAsia" w:hAnsiTheme="minorEastAsia"/>
          <w:sz w:val="24"/>
        </w:rPr>
      </w:pPr>
    </w:p>
    <w:p w:rsidR="006109AE" w:rsidRDefault="00754B7E">
      <w:pPr>
        <w:pStyle w:val="2"/>
        <w:spacing w:line="360" w:lineRule="auto"/>
        <w:jc w:val="center"/>
        <w:rPr>
          <w:rFonts w:asciiTheme="minorEastAsia" w:eastAsiaTheme="minorEastAsia" w:hAnsiTheme="minorEastAsia"/>
          <w:sz w:val="24"/>
          <w:szCs w:val="24"/>
        </w:rPr>
      </w:pPr>
      <w:bookmarkStart w:id="3" w:name="_Toc124325887"/>
      <w:r>
        <w:rPr>
          <w:rFonts w:asciiTheme="minorEastAsia" w:eastAsiaTheme="minorEastAsia" w:hAnsiTheme="minorEastAsia" w:hint="eastAsia"/>
          <w:sz w:val="24"/>
          <w:szCs w:val="24"/>
        </w:rPr>
        <w:t>三、基金托管人对基金管理人的业务监督和核查</w:t>
      </w:r>
      <w:bookmarkEnd w:id="3"/>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本基金的投资范围主要为具有良好流动性的金融工具，包括国内依法发行上市的股票（包括中小板、创业板及其他经中国证监会核准上市的股票）、债券（包括国债、</w:t>
      </w:r>
      <w:r>
        <w:rPr>
          <w:rFonts w:asciiTheme="minorEastAsia" w:eastAsiaTheme="minorEastAsia" w:hAnsiTheme="minorEastAsia" w:cs="Arial" w:hint="eastAsia"/>
          <w:sz w:val="24"/>
        </w:rPr>
        <w:t>金融债、央行票据、地方政府债、企业债、公司债、可交换公司债券、可转换公司债、中小企业私募债券、中期票据、短期融资券、超短期融资券、公开发行的次级债、债券回购等）、资产支持证券、银行存款、货币市场工具以及法律法规或中国证监会允许基金投资的其他金融工具（但须符合中国证监会相关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基金的投资组合比例为：本基金投资于股票的比例占基金资产的</w:t>
      </w:r>
      <w:r>
        <w:rPr>
          <w:rFonts w:asciiTheme="minorEastAsia" w:eastAsiaTheme="minorEastAsia" w:hAnsiTheme="minorEastAsia" w:cs="Arial"/>
          <w:sz w:val="24"/>
        </w:rPr>
        <w:t>80%-95%</w:t>
      </w:r>
      <w:r>
        <w:rPr>
          <w:rFonts w:asciiTheme="minorEastAsia" w:eastAsiaTheme="minorEastAsia" w:hAnsiTheme="minorEastAsia" w:cs="Arial" w:hint="eastAsia"/>
          <w:sz w:val="24"/>
        </w:rPr>
        <w:t>，对于创新</w:t>
      </w:r>
      <w:r>
        <w:rPr>
          <w:rFonts w:asciiTheme="minorEastAsia" w:eastAsiaTheme="minorEastAsia" w:hAnsiTheme="minorEastAsia" w:cs="Arial"/>
          <w:sz w:val="24"/>
        </w:rPr>
        <w:t>驱动型企业</w:t>
      </w:r>
      <w:r>
        <w:rPr>
          <w:rFonts w:asciiTheme="minorEastAsia" w:eastAsiaTheme="minorEastAsia" w:hAnsiTheme="minorEastAsia" w:cs="Arial" w:hint="eastAsia"/>
          <w:sz w:val="24"/>
        </w:rPr>
        <w:t>相关证券的投资比例不低于非现金基金资产的</w:t>
      </w:r>
      <w:r>
        <w:rPr>
          <w:rFonts w:asciiTheme="minorEastAsia" w:eastAsiaTheme="minorEastAsia" w:hAnsiTheme="minorEastAsia" w:cs="Arial"/>
          <w:sz w:val="24"/>
        </w:rPr>
        <w:t>80%</w:t>
      </w:r>
      <w:r>
        <w:rPr>
          <w:rFonts w:asciiTheme="minorEastAsia" w:eastAsiaTheme="minorEastAsia" w:hAnsiTheme="minorEastAsia" w:cs="Arial" w:hint="eastAsia"/>
          <w:sz w:val="24"/>
        </w:rPr>
        <w:t>，本基金持有的现金或到期日在一年以内的政府债券不低于基金资产净值的</w:t>
      </w:r>
      <w:r>
        <w:rPr>
          <w:rFonts w:asciiTheme="minorEastAsia" w:eastAsiaTheme="minorEastAsia" w:hAnsiTheme="minorEastAsia" w:cs="Arial"/>
          <w:sz w:val="24"/>
        </w:rPr>
        <w:t>5%</w:t>
      </w:r>
      <w:r>
        <w:rPr>
          <w:rFonts w:asciiTheme="minorEastAsia" w:eastAsiaTheme="minorEastAsia" w:hAnsiTheme="minorEastAsia" w:cs="Arial" w:hint="eastAsia"/>
          <w:sz w:val="24"/>
        </w:rPr>
        <w:t>，其中现金不包括结算备付金、存出保证金、应收申购款等。</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如果法律法规或中国证监会变更投资品种的投资比例限制，基金管理人在履行适当程序后，可以调整上述投资品种的投资比例。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（二）基金托管人根据有关法律法规的规定及《基金合同》的约定，对基金投资、融资比例进行监督。基金托管人按下述比例和调整期限进行监督：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lastRenderedPageBreak/>
        <w:t>1.</w:t>
      </w:r>
      <w:r>
        <w:rPr>
          <w:rFonts w:asciiTheme="minorEastAsia" w:eastAsiaTheme="minorEastAsia" w:hAnsiTheme="minorEastAsia" w:cs="Arial" w:hint="eastAsia"/>
          <w:sz w:val="24"/>
        </w:rPr>
        <w:t>本基金股票投资比例为基金资产的</w:t>
      </w:r>
      <w:r>
        <w:rPr>
          <w:rFonts w:asciiTheme="minorEastAsia" w:eastAsiaTheme="minorEastAsia" w:hAnsiTheme="minorEastAsia" w:cs="Arial"/>
          <w:sz w:val="24"/>
        </w:rPr>
        <w:t>80%-95%</w:t>
      </w:r>
      <w:r>
        <w:rPr>
          <w:rFonts w:asciiTheme="minorEastAsia" w:eastAsiaTheme="minorEastAsia" w:hAnsiTheme="minorEastAsia" w:cs="Arial"/>
          <w:sz w:val="24"/>
        </w:rPr>
        <w:t>，对于创新驱动型企业</w:t>
      </w:r>
      <w:r>
        <w:rPr>
          <w:rFonts w:asciiTheme="minorEastAsia" w:eastAsiaTheme="minorEastAsia" w:hAnsiTheme="minorEastAsia" w:cs="Arial" w:hint="eastAsia"/>
          <w:sz w:val="24"/>
        </w:rPr>
        <w:t>相关证券的投资比例不低于非现金基金资产的</w:t>
      </w:r>
      <w:r>
        <w:rPr>
          <w:rFonts w:asciiTheme="minorEastAsia" w:eastAsiaTheme="minorEastAsia" w:hAnsiTheme="minorEastAsia" w:cs="Arial"/>
          <w:sz w:val="24"/>
        </w:rPr>
        <w:t>80%</w:t>
      </w:r>
      <w:r>
        <w:rPr>
          <w:rFonts w:asciiTheme="minorEastAsia" w:eastAsiaTheme="minorEastAsia" w:hAnsiTheme="minorEastAsia" w:cs="Arial"/>
          <w:sz w:val="24"/>
        </w:rPr>
        <w:t>；</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hint="eastAsia"/>
          <w:sz w:val="24"/>
        </w:rPr>
        <w:t>本</w:t>
      </w:r>
      <w:r>
        <w:rPr>
          <w:rFonts w:asciiTheme="minorEastAsia" w:eastAsiaTheme="minorEastAsia" w:hAnsiTheme="minorEastAsia" w:cs="Arial"/>
          <w:sz w:val="24"/>
        </w:rPr>
        <w:t>基金保</w:t>
      </w:r>
      <w:r>
        <w:rPr>
          <w:rFonts w:asciiTheme="minorEastAsia" w:eastAsiaTheme="minorEastAsia" w:hAnsiTheme="minorEastAsia" w:cs="Arial"/>
          <w:sz w:val="24"/>
        </w:rPr>
        <w:t>持现金或者到期日在一年以内的政府债券投资比例合计不低于基金资产净值的</w:t>
      </w:r>
      <w:r>
        <w:rPr>
          <w:rFonts w:asciiTheme="minorEastAsia" w:eastAsiaTheme="minorEastAsia" w:hAnsiTheme="minorEastAsia" w:cs="Arial"/>
          <w:sz w:val="24"/>
        </w:rPr>
        <w:t>5%</w:t>
      </w:r>
      <w:r>
        <w:rPr>
          <w:rFonts w:asciiTheme="minorEastAsia" w:eastAsiaTheme="minorEastAsia" w:hAnsiTheme="minorEastAsia" w:cs="Arial" w:hint="eastAsia"/>
          <w:sz w:val="24"/>
        </w:rPr>
        <w:t>，其中现金不包括结算备付金、存出保证金、应收申购款等</w:t>
      </w:r>
      <w:r>
        <w:rPr>
          <w:rFonts w:asciiTheme="minorEastAsia" w:eastAsiaTheme="minorEastAsia" w:hAnsiTheme="minorEastAsia" w:cs="Arial"/>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本基金持有一家公司发行的证券，其市值不超过基金资产净值的</w:t>
      </w:r>
      <w:r>
        <w:rPr>
          <w:rFonts w:asciiTheme="minorEastAsia" w:eastAsiaTheme="minorEastAsia" w:hAnsiTheme="minorEastAsia" w:cs="Arial"/>
          <w:sz w:val="24"/>
        </w:rPr>
        <w:t>10%</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本基金管理人管理的</w:t>
      </w:r>
      <w:r>
        <w:rPr>
          <w:rFonts w:asciiTheme="minorEastAsia" w:eastAsiaTheme="minorEastAsia" w:hAnsiTheme="minorEastAsia" w:cs="Arial" w:hint="eastAsia"/>
          <w:sz w:val="24"/>
        </w:rPr>
        <w:t>且在本基金托管人处托管的</w:t>
      </w:r>
      <w:r>
        <w:rPr>
          <w:rFonts w:asciiTheme="minorEastAsia" w:eastAsiaTheme="minorEastAsia" w:hAnsiTheme="minorEastAsia" w:cs="Arial"/>
          <w:sz w:val="24"/>
        </w:rPr>
        <w:t>全部基金持有一家公司发行的证券，不超过该证券的</w:t>
      </w:r>
      <w:r>
        <w:rPr>
          <w:rFonts w:asciiTheme="minorEastAsia" w:eastAsiaTheme="minorEastAsia" w:hAnsiTheme="minorEastAsia" w:cs="Arial"/>
          <w:sz w:val="24"/>
        </w:rPr>
        <w:t>10%</w:t>
      </w:r>
      <w:r>
        <w:rPr>
          <w:rFonts w:asciiTheme="minorEastAsia" w:eastAsiaTheme="minorEastAsia" w:hAnsiTheme="minorEastAsia" w:cs="Arial"/>
          <w:sz w:val="24"/>
        </w:rPr>
        <w:t>；</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sz w:val="24"/>
        </w:rPr>
        <w:t>本基金管理人管理的</w:t>
      </w:r>
      <w:r>
        <w:rPr>
          <w:rFonts w:asciiTheme="minorEastAsia" w:eastAsiaTheme="minorEastAsia" w:hAnsiTheme="minorEastAsia" w:cs="Arial" w:hint="eastAsia"/>
          <w:sz w:val="24"/>
        </w:rPr>
        <w:t>且在本基金托管人处托管的</w:t>
      </w:r>
      <w:r>
        <w:rPr>
          <w:rFonts w:asciiTheme="minorEastAsia" w:eastAsiaTheme="minorEastAsia" w:hAnsiTheme="minorEastAsia" w:cs="Arial"/>
          <w:sz w:val="24"/>
        </w:rPr>
        <w:t>全部基金投资于同一原始权益人的各类资产支持证券，不得超过其各类资产支持证券合计规模的</w:t>
      </w:r>
      <w:r>
        <w:rPr>
          <w:rFonts w:asciiTheme="minorEastAsia" w:eastAsiaTheme="minorEastAsia" w:hAnsiTheme="minorEastAsia" w:cs="Arial"/>
          <w:sz w:val="24"/>
        </w:rPr>
        <w:t>10%</w:t>
      </w:r>
      <w:r>
        <w:rPr>
          <w:rFonts w:asciiTheme="minorEastAsia" w:eastAsiaTheme="minorEastAsia" w:hAnsiTheme="minorEastAsia" w:cs="Arial"/>
          <w:sz w:val="24"/>
        </w:rPr>
        <w:t>；</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6.</w:t>
      </w:r>
      <w:r>
        <w:rPr>
          <w:rFonts w:asciiTheme="minorEastAsia" w:eastAsiaTheme="minorEastAsia" w:hAnsiTheme="minorEastAsia" w:cs="Arial"/>
          <w:sz w:val="24"/>
        </w:rPr>
        <w:t>本基金投资于同一原始权益人的各类资产支持证券的比例，不得超过基金</w:t>
      </w:r>
      <w:r>
        <w:rPr>
          <w:rFonts w:asciiTheme="minorEastAsia" w:eastAsiaTheme="minorEastAsia" w:hAnsiTheme="minorEastAsia" w:cs="Arial"/>
          <w:sz w:val="24"/>
        </w:rPr>
        <w:t>资产净值的</w:t>
      </w:r>
      <w:r>
        <w:rPr>
          <w:rFonts w:asciiTheme="minorEastAsia" w:eastAsiaTheme="minorEastAsia" w:hAnsiTheme="minorEastAsia" w:cs="Arial"/>
          <w:sz w:val="24"/>
        </w:rPr>
        <w:t>10%</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7.</w:t>
      </w:r>
      <w:r>
        <w:rPr>
          <w:rFonts w:asciiTheme="minorEastAsia" w:eastAsiaTheme="minorEastAsia" w:hAnsiTheme="minorEastAsia" w:cs="Arial"/>
          <w:sz w:val="24"/>
        </w:rPr>
        <w:t>本基金持有的全部资产支持证券，其市值不得超过基金资产净值的</w:t>
      </w:r>
      <w:r>
        <w:rPr>
          <w:rFonts w:asciiTheme="minorEastAsia" w:eastAsiaTheme="minorEastAsia" w:hAnsiTheme="minorEastAsia" w:cs="Arial"/>
          <w:sz w:val="24"/>
        </w:rPr>
        <w:t>20%</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8.</w:t>
      </w:r>
      <w:r>
        <w:rPr>
          <w:rFonts w:asciiTheme="minorEastAsia" w:eastAsiaTheme="minorEastAsia" w:hAnsiTheme="minorEastAsia" w:cs="Arial"/>
          <w:sz w:val="24"/>
        </w:rPr>
        <w:t>本基金持有的同一</w:t>
      </w:r>
      <w:r>
        <w:rPr>
          <w:rFonts w:asciiTheme="minorEastAsia" w:eastAsiaTheme="minorEastAsia" w:hAnsiTheme="minorEastAsia" w:cs="Arial"/>
          <w:sz w:val="24"/>
        </w:rPr>
        <w:t>(</w:t>
      </w:r>
      <w:r>
        <w:rPr>
          <w:rFonts w:asciiTheme="minorEastAsia" w:eastAsiaTheme="minorEastAsia" w:hAnsiTheme="minorEastAsia" w:cs="Arial"/>
          <w:sz w:val="24"/>
        </w:rPr>
        <w:t>指同一信用级别</w:t>
      </w:r>
      <w:r>
        <w:rPr>
          <w:rFonts w:asciiTheme="minorEastAsia" w:eastAsiaTheme="minorEastAsia" w:hAnsiTheme="minorEastAsia" w:cs="Arial"/>
          <w:sz w:val="24"/>
        </w:rPr>
        <w:t>)</w:t>
      </w:r>
      <w:r>
        <w:rPr>
          <w:rFonts w:asciiTheme="minorEastAsia" w:eastAsiaTheme="minorEastAsia" w:hAnsiTheme="minorEastAsia" w:cs="Arial"/>
          <w:sz w:val="24"/>
        </w:rPr>
        <w:t>资产支持证券的比例，不得超过该资产支持证券规模的</w:t>
      </w:r>
      <w:r>
        <w:rPr>
          <w:rFonts w:asciiTheme="minorEastAsia" w:eastAsiaTheme="minorEastAsia" w:hAnsiTheme="minorEastAsia" w:cs="Arial"/>
          <w:sz w:val="24"/>
        </w:rPr>
        <w:t>10%</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9.</w:t>
      </w:r>
      <w:r>
        <w:rPr>
          <w:rFonts w:asciiTheme="minorEastAsia" w:eastAsiaTheme="minorEastAsia" w:hAnsiTheme="minorEastAsia" w:cs="Arial"/>
          <w:sz w:val="24"/>
        </w:rPr>
        <w:t>本基金应投资于信用级别评级为</w:t>
      </w:r>
      <w:r>
        <w:rPr>
          <w:rFonts w:asciiTheme="minorEastAsia" w:eastAsiaTheme="minorEastAsia" w:hAnsiTheme="minorEastAsia" w:cs="Arial"/>
          <w:sz w:val="24"/>
        </w:rPr>
        <w:t>AA-</w:t>
      </w:r>
      <w:r>
        <w:rPr>
          <w:rFonts w:asciiTheme="minorEastAsia" w:eastAsiaTheme="minorEastAsia" w:hAnsiTheme="minorEastAsia" w:cs="Arial" w:hint="eastAsia"/>
          <w:sz w:val="24"/>
        </w:rPr>
        <w:t>以上</w:t>
      </w:r>
      <w:r>
        <w:rPr>
          <w:rFonts w:asciiTheme="minorEastAsia" w:eastAsiaTheme="minorEastAsia" w:hAnsiTheme="minorEastAsia" w:cs="Arial"/>
          <w:sz w:val="24"/>
        </w:rPr>
        <w:t>(</w:t>
      </w:r>
      <w:r>
        <w:rPr>
          <w:rFonts w:asciiTheme="minorEastAsia" w:eastAsiaTheme="minorEastAsia" w:hAnsiTheme="minorEastAsia" w:cs="Arial"/>
          <w:sz w:val="24"/>
        </w:rPr>
        <w:t>含</w:t>
      </w:r>
      <w:r>
        <w:rPr>
          <w:rFonts w:asciiTheme="minorEastAsia" w:eastAsiaTheme="minorEastAsia" w:hAnsiTheme="minorEastAsia" w:cs="Arial"/>
          <w:sz w:val="24"/>
        </w:rPr>
        <w:t>AA-)</w:t>
      </w:r>
      <w:r>
        <w:rPr>
          <w:rFonts w:asciiTheme="minorEastAsia" w:eastAsiaTheme="minorEastAsia" w:hAnsiTheme="minorEastAsia" w:cs="Arial"/>
          <w:sz w:val="24"/>
        </w:rPr>
        <w:t>的资产支持证券。基金持有资产支持证券期间，如果其信用等级下降、不再符合投资标准，应在评级报告发布之日起</w:t>
      </w:r>
      <w:r>
        <w:rPr>
          <w:rFonts w:asciiTheme="minorEastAsia" w:eastAsiaTheme="minorEastAsia" w:hAnsiTheme="minorEastAsia" w:cs="Arial"/>
          <w:sz w:val="24"/>
        </w:rPr>
        <w:t>3</w:t>
      </w:r>
      <w:r>
        <w:rPr>
          <w:rFonts w:asciiTheme="minorEastAsia" w:eastAsiaTheme="minorEastAsia" w:hAnsiTheme="minorEastAsia" w:cs="Arial"/>
          <w:sz w:val="24"/>
        </w:rPr>
        <w:t>个月内予以全部卖出；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10.</w:t>
      </w:r>
      <w:r>
        <w:rPr>
          <w:rFonts w:asciiTheme="minorEastAsia" w:eastAsiaTheme="minorEastAsia" w:hAnsiTheme="minorEastAsia" w:cs="Arial"/>
          <w:sz w:val="24"/>
        </w:rPr>
        <w:t>基金财产参与股票发行申购，本基金所申报的金额不超过本基金的总资产，本基金所申报的股票数量不超过拟发行股票公司本次发行股票的总量；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11.</w:t>
      </w:r>
      <w:r>
        <w:rPr>
          <w:rFonts w:asciiTheme="minorEastAsia" w:eastAsiaTheme="minorEastAsia" w:hAnsiTheme="minorEastAsia" w:cs="Arial"/>
          <w:sz w:val="24"/>
        </w:rPr>
        <w:t>本</w:t>
      </w:r>
      <w:r>
        <w:rPr>
          <w:rFonts w:asciiTheme="minorEastAsia" w:eastAsiaTheme="minorEastAsia" w:hAnsiTheme="minorEastAsia" w:cs="Arial"/>
          <w:sz w:val="24"/>
        </w:rPr>
        <w:t>基金进入全国银行间同业市场进行债券回购的资金余额不得超过基金资产净值的</w:t>
      </w:r>
      <w:r>
        <w:rPr>
          <w:rFonts w:asciiTheme="minorEastAsia" w:eastAsiaTheme="minorEastAsia" w:hAnsiTheme="minorEastAsia" w:cs="Arial"/>
          <w:sz w:val="24"/>
        </w:rPr>
        <w:t>40%</w:t>
      </w:r>
      <w:r>
        <w:rPr>
          <w:rFonts w:asciiTheme="minorEastAsia" w:eastAsiaTheme="minorEastAsia" w:hAnsiTheme="minorEastAsia" w:cs="Arial" w:hint="eastAsia"/>
          <w:sz w:val="24"/>
        </w:rPr>
        <w:t>，在全国银行间同业市场中的债券回购最长期限为</w:t>
      </w:r>
      <w:r>
        <w:rPr>
          <w:rFonts w:asciiTheme="minorEastAsia" w:eastAsiaTheme="minorEastAsia" w:hAnsiTheme="minorEastAsia" w:cs="Arial"/>
          <w:sz w:val="24"/>
        </w:rPr>
        <w:t>1</w:t>
      </w:r>
      <w:r>
        <w:rPr>
          <w:rFonts w:asciiTheme="minorEastAsia" w:eastAsiaTheme="minorEastAsia" w:hAnsiTheme="minorEastAsia" w:cs="Arial"/>
          <w:sz w:val="24"/>
        </w:rPr>
        <w:t>年，债券回购到期后不展期；</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12.</w:t>
      </w:r>
      <w:r>
        <w:rPr>
          <w:rFonts w:asciiTheme="minorEastAsia" w:eastAsiaTheme="minorEastAsia" w:hAnsiTheme="minorEastAsia" w:cs="Arial"/>
          <w:sz w:val="24"/>
        </w:rPr>
        <w:t>本基金总资产不得超过基金净资产</w:t>
      </w:r>
      <w:r>
        <w:rPr>
          <w:rFonts w:asciiTheme="minorEastAsia" w:eastAsiaTheme="minorEastAsia" w:hAnsiTheme="minorEastAsia" w:cs="Arial" w:hint="eastAsia"/>
          <w:sz w:val="24"/>
        </w:rPr>
        <w:t>的</w:t>
      </w:r>
      <w:r>
        <w:rPr>
          <w:rFonts w:asciiTheme="minorEastAsia" w:eastAsiaTheme="minorEastAsia" w:hAnsiTheme="minorEastAsia" w:cs="Arial"/>
          <w:sz w:val="24"/>
        </w:rPr>
        <w:t>140%</w:t>
      </w:r>
      <w:r>
        <w:rPr>
          <w:rFonts w:asciiTheme="minorEastAsia" w:eastAsiaTheme="minorEastAsia" w:hAnsiTheme="minorEastAsia" w:cs="Arial"/>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13.</w:t>
      </w:r>
      <w:r>
        <w:rPr>
          <w:rFonts w:asciiTheme="minorEastAsia" w:eastAsiaTheme="minorEastAsia" w:hAnsiTheme="minorEastAsia" w:cs="Arial"/>
          <w:sz w:val="24"/>
        </w:rPr>
        <w:t>本基金持有单只中小企业私募债券，其市值不得超过本</w:t>
      </w:r>
      <w:r>
        <w:rPr>
          <w:rFonts w:asciiTheme="minorEastAsia" w:eastAsiaTheme="minorEastAsia" w:hAnsiTheme="minorEastAsia" w:cs="Arial" w:hint="eastAsia"/>
          <w:sz w:val="24"/>
        </w:rPr>
        <w:t>基金资产净值的</w:t>
      </w:r>
      <w:r>
        <w:rPr>
          <w:rFonts w:asciiTheme="minorEastAsia" w:eastAsiaTheme="minorEastAsia" w:hAnsiTheme="minorEastAsia" w:cs="Arial"/>
          <w:sz w:val="24"/>
        </w:rPr>
        <w:t>10%</w:t>
      </w:r>
      <w:r>
        <w:rPr>
          <w:rFonts w:asciiTheme="minorEastAsia" w:eastAsiaTheme="minorEastAsia" w:hAnsiTheme="minorEastAsia" w:cs="Arial"/>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14.</w:t>
      </w:r>
      <w:r>
        <w:rPr>
          <w:rFonts w:asciiTheme="minorEastAsia" w:eastAsiaTheme="minorEastAsia" w:hAnsiTheme="minorEastAsia" w:cs="Arial"/>
          <w:sz w:val="24"/>
        </w:rPr>
        <w:t>本基金持有的所有流通受限证券，其公允价值不得超过本基金资产净值的</w:t>
      </w:r>
      <w:r>
        <w:rPr>
          <w:rFonts w:asciiTheme="minorEastAsia" w:eastAsiaTheme="minorEastAsia" w:hAnsiTheme="minorEastAsia" w:cs="Arial"/>
          <w:sz w:val="24"/>
        </w:rPr>
        <w:t>15%</w:t>
      </w:r>
      <w:r>
        <w:rPr>
          <w:rFonts w:asciiTheme="minorEastAsia" w:eastAsiaTheme="minorEastAsia" w:hAnsiTheme="minorEastAsia" w:cs="Arial"/>
          <w:sz w:val="24"/>
        </w:rPr>
        <w:t>；本</w:t>
      </w:r>
      <w:r>
        <w:rPr>
          <w:rFonts w:asciiTheme="minorEastAsia" w:eastAsiaTheme="minorEastAsia" w:hAnsiTheme="minorEastAsia" w:cs="Arial" w:hint="eastAsia"/>
          <w:sz w:val="24"/>
        </w:rPr>
        <w:t>基金持有的同一流通受限证券，其公允价值不得超过本基金资产净值的</w:t>
      </w:r>
      <w:r>
        <w:rPr>
          <w:rFonts w:asciiTheme="minorEastAsia" w:eastAsiaTheme="minorEastAsia" w:hAnsiTheme="minorEastAsia" w:cs="Arial"/>
          <w:sz w:val="24"/>
        </w:rPr>
        <w:t>5%</w:t>
      </w:r>
      <w:r>
        <w:rPr>
          <w:rFonts w:asciiTheme="minorEastAsia" w:eastAsiaTheme="minorEastAsia" w:hAnsiTheme="minorEastAsia" w:cs="Arial"/>
          <w:sz w:val="24"/>
        </w:rPr>
        <w:t>；基金管理人基金托管人协商一致，可以对以上比例限制进行修改。因流通受限证券价格波动、基金</w:t>
      </w:r>
      <w:r>
        <w:rPr>
          <w:rFonts w:asciiTheme="minorEastAsia" w:eastAsiaTheme="minorEastAsia" w:hAnsiTheme="minorEastAsia" w:cs="Arial"/>
          <w:sz w:val="24"/>
        </w:rPr>
        <w:t>规模变动、新股申购等基金管理人无法控制的因素导致上述比例被动超标的，基金管理人应当停止主动买入流通受限证券并在流通受限期限结束后卖出流通受限证券</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15.</w:t>
      </w:r>
      <w:r>
        <w:rPr>
          <w:rFonts w:asciiTheme="minorEastAsia" w:eastAsiaTheme="minorEastAsia" w:hAnsiTheme="minorEastAsia" w:cs="Arial" w:hint="eastAsia"/>
          <w:sz w:val="24"/>
        </w:rPr>
        <w:t>本基金管理人管理且在本基金托管人处托管的全部开放式基金（包括开放式基金以及处于开放期的定期开放基金）持有一家上市公司发行的可流通股票，不得超过该上市公司可流通股票的</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16.</w:t>
      </w:r>
      <w:r>
        <w:rPr>
          <w:rFonts w:asciiTheme="minorEastAsia" w:eastAsiaTheme="minorEastAsia" w:hAnsiTheme="minorEastAsia" w:cs="Arial" w:hint="eastAsia"/>
          <w:sz w:val="24"/>
        </w:rPr>
        <w:t>本基金主动投资于流动性受限资产的市值合计不得超过基金资产净值的</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。因证券市场波动、上市公司股票停牌、基金规模变动等基金管理人之外的因素致使基金不符合本条规定比例限制的，基金</w:t>
      </w:r>
      <w:r>
        <w:rPr>
          <w:rFonts w:asciiTheme="minorEastAsia" w:eastAsiaTheme="minorEastAsia" w:hAnsiTheme="minorEastAsia" w:cs="Arial" w:hint="eastAsia"/>
          <w:sz w:val="24"/>
        </w:rPr>
        <w:t>管理人不得主动新增流动性受限资产的投资；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17.</w:t>
      </w:r>
      <w:r>
        <w:rPr>
          <w:rFonts w:asciiTheme="minorEastAsia" w:eastAsiaTheme="minorEastAsia" w:hAnsiTheme="minorEastAsia" w:cs="Arial" w:hint="eastAsia"/>
          <w:sz w:val="24"/>
        </w:rPr>
        <w:t>法律法规、中国证监会规定的和《基金合同》约定的其他投资限制。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除上述</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w:t>
      </w:r>
      <w:r>
        <w:rPr>
          <w:rFonts w:asciiTheme="minorEastAsia" w:eastAsiaTheme="minorEastAsia" w:hAnsiTheme="minorEastAsia" w:cs="Arial"/>
          <w:sz w:val="24"/>
        </w:rPr>
        <w:t>9</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16</w:t>
      </w:r>
      <w:r>
        <w:rPr>
          <w:rFonts w:asciiTheme="minorEastAsia" w:eastAsiaTheme="minorEastAsia" w:hAnsiTheme="minorEastAsia" w:cs="Arial" w:hint="eastAsia"/>
          <w:sz w:val="24"/>
        </w:rPr>
        <w:t>项外，</w:t>
      </w:r>
      <w:r>
        <w:rPr>
          <w:rFonts w:asciiTheme="minorEastAsia" w:eastAsiaTheme="minorEastAsia" w:hAnsiTheme="minorEastAsia" w:cs="Arial"/>
          <w:sz w:val="24"/>
        </w:rPr>
        <w:t>因证券市场波动、</w:t>
      </w:r>
      <w:r>
        <w:rPr>
          <w:rFonts w:asciiTheme="minorEastAsia" w:eastAsiaTheme="minorEastAsia" w:hAnsiTheme="minorEastAsia" w:cs="Arial" w:hint="eastAsia"/>
          <w:sz w:val="24"/>
        </w:rPr>
        <w:t>证券发行人</w:t>
      </w:r>
      <w:r>
        <w:rPr>
          <w:rFonts w:asciiTheme="minorEastAsia" w:eastAsiaTheme="minorEastAsia" w:hAnsiTheme="minorEastAsia" w:cs="Arial"/>
          <w:sz w:val="24"/>
        </w:rPr>
        <w:t>合并、基金规模变动、股权分置改革中支付对价等基金管理人之外的因素致使基金投资比例不符合上述规定投资比例的，基金管理人应当在</w:t>
      </w:r>
      <w:r>
        <w:rPr>
          <w:rFonts w:asciiTheme="minorEastAsia" w:eastAsiaTheme="minorEastAsia" w:hAnsiTheme="minorEastAsia" w:cs="Arial"/>
          <w:sz w:val="24"/>
        </w:rPr>
        <w:t>10</w:t>
      </w:r>
      <w:r>
        <w:rPr>
          <w:rFonts w:asciiTheme="minorEastAsia" w:eastAsiaTheme="minorEastAsia" w:hAnsiTheme="minorEastAsia" w:cs="Arial"/>
          <w:sz w:val="24"/>
        </w:rPr>
        <w:t>个交易日内进行调整</w:t>
      </w:r>
      <w:r>
        <w:rPr>
          <w:rFonts w:asciiTheme="minorEastAsia" w:eastAsiaTheme="minorEastAsia" w:hAnsiTheme="minorEastAsia" w:cs="Arial" w:hint="eastAsia"/>
          <w:sz w:val="24"/>
        </w:rPr>
        <w:t>，但中国证监会规定的特殊情形除外</w:t>
      </w:r>
      <w:r>
        <w:rPr>
          <w:rFonts w:asciiTheme="minorEastAsia" w:eastAsiaTheme="minorEastAsia" w:hAnsiTheme="minorEastAsia" w:cs="Arial"/>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基金管理人应当自基金合同生效之日起</w:t>
      </w:r>
      <w:r>
        <w:rPr>
          <w:rFonts w:asciiTheme="minorEastAsia" w:eastAsiaTheme="minorEastAsia" w:hAnsiTheme="minorEastAsia" w:cs="Arial"/>
          <w:sz w:val="24"/>
        </w:rPr>
        <w:t>6</w:t>
      </w:r>
      <w:r>
        <w:rPr>
          <w:rFonts w:asciiTheme="minorEastAsia" w:eastAsiaTheme="minorEastAsia" w:hAnsiTheme="minorEastAsia" w:cs="Arial"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法律法规或监管</w:t>
      </w:r>
      <w:r>
        <w:rPr>
          <w:rFonts w:asciiTheme="minorEastAsia" w:eastAsiaTheme="minorEastAsia" w:hAnsiTheme="minorEastAsia" w:cs="Arial" w:hint="eastAsia"/>
          <w:sz w:val="24"/>
        </w:rPr>
        <w:t>机构</w:t>
      </w:r>
      <w:r>
        <w:rPr>
          <w:rFonts w:asciiTheme="minorEastAsia" w:eastAsiaTheme="minorEastAsia" w:hAnsiTheme="minorEastAsia" w:cs="Arial"/>
          <w:sz w:val="24"/>
        </w:rPr>
        <w:t>取消</w:t>
      </w:r>
      <w:r>
        <w:rPr>
          <w:rFonts w:asciiTheme="minorEastAsia" w:eastAsiaTheme="minorEastAsia" w:hAnsiTheme="minorEastAsia" w:cs="Arial" w:hint="eastAsia"/>
          <w:sz w:val="24"/>
        </w:rPr>
        <w:t>或调整</w:t>
      </w:r>
      <w:r>
        <w:rPr>
          <w:rFonts w:asciiTheme="minorEastAsia" w:eastAsiaTheme="minorEastAsia" w:hAnsiTheme="minorEastAsia" w:cs="Arial"/>
          <w:sz w:val="24"/>
        </w:rPr>
        <w:t>上述限制，如适用于本基金，基金管理人</w:t>
      </w:r>
      <w:r>
        <w:rPr>
          <w:rFonts w:asciiTheme="minorEastAsia" w:eastAsiaTheme="minorEastAsia" w:hAnsiTheme="minorEastAsia" w:cs="Arial" w:hint="eastAsia"/>
          <w:sz w:val="24"/>
        </w:rPr>
        <w:t>在</w:t>
      </w:r>
      <w:r>
        <w:rPr>
          <w:rFonts w:asciiTheme="minorEastAsia" w:eastAsiaTheme="minorEastAsia" w:hAnsiTheme="minorEastAsia" w:cs="Arial"/>
          <w:sz w:val="24"/>
        </w:rPr>
        <w:t>履行适当程序后，则本基金投资不再受相关限制</w:t>
      </w:r>
      <w:r>
        <w:rPr>
          <w:rFonts w:asciiTheme="minorEastAsia" w:eastAsiaTheme="minorEastAsia" w:hAnsiTheme="minorEastAsia" w:cs="Arial" w:hint="eastAsia"/>
          <w:sz w:val="24"/>
        </w:rPr>
        <w:t>或按调整后的规定执行</w:t>
      </w:r>
      <w:r>
        <w:rPr>
          <w:rFonts w:asciiTheme="minorEastAsia" w:eastAsiaTheme="minorEastAsia" w:hAnsiTheme="minorEastAsia" w:cs="Arial"/>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（三）基金托管人</w:t>
      </w:r>
      <w:bookmarkStart w:id="4" w:name="OLE_LINK1"/>
      <w:r>
        <w:rPr>
          <w:rFonts w:asciiTheme="minorEastAsia" w:eastAsiaTheme="minorEastAsia" w:hAnsiTheme="minorEastAsia" w:cs="Arial" w:hint="eastAsia"/>
          <w:sz w:val="24"/>
        </w:rPr>
        <w:t>根据有关法律法规的规定及《基金合同》的约定，</w:t>
      </w:r>
      <w:bookmarkEnd w:id="4"/>
      <w:r>
        <w:rPr>
          <w:rFonts w:asciiTheme="minorEastAsia" w:eastAsiaTheme="minorEastAsia" w:hAnsiTheme="minorEastAsia" w:cs="Arial" w:hint="eastAsia"/>
          <w:sz w:val="24"/>
        </w:rPr>
        <w:t>对本托管协议第十五条第九款基金投资禁止行为通过事后监督方式进行监督。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根据法律法规的规定及基金合同的约定，基金财产不得用于下列投资或者活动：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hint="eastAsia"/>
          <w:sz w:val="24"/>
        </w:rPr>
        <w:t>．</w:t>
      </w:r>
      <w:r>
        <w:rPr>
          <w:rFonts w:asciiTheme="minorEastAsia" w:eastAsiaTheme="minorEastAsia" w:hAnsiTheme="minorEastAsia" w:cs="Arial"/>
          <w:sz w:val="24"/>
        </w:rPr>
        <w:t>承销证券；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．违反规定向他人贷款或者提供担保；</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．从事承担无限责任的投资；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．买卖其他基金份额，但是</w:t>
      </w:r>
      <w:r>
        <w:rPr>
          <w:rFonts w:asciiTheme="minorEastAsia" w:eastAsiaTheme="minorEastAsia" w:hAnsiTheme="minorEastAsia" w:cs="Arial" w:hint="eastAsia"/>
          <w:sz w:val="24"/>
        </w:rPr>
        <w:t>中国证监会另</w:t>
      </w:r>
      <w:r>
        <w:rPr>
          <w:rFonts w:asciiTheme="minorEastAsia" w:eastAsiaTheme="minorEastAsia" w:hAnsiTheme="minorEastAsia" w:cs="Arial"/>
          <w:sz w:val="24"/>
        </w:rPr>
        <w:t>有规定的除外；</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 xml:space="preserve">5. </w:t>
      </w:r>
      <w:r>
        <w:rPr>
          <w:rFonts w:asciiTheme="minorEastAsia" w:eastAsiaTheme="minorEastAsia" w:hAnsiTheme="minorEastAsia" w:cs="Arial"/>
          <w:sz w:val="24"/>
        </w:rPr>
        <w:t>向其基金管理人、基金托管人出资；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6</w:t>
      </w:r>
      <w:r>
        <w:rPr>
          <w:rFonts w:asciiTheme="minorEastAsia" w:eastAsiaTheme="minorEastAsia" w:hAnsiTheme="minorEastAsia" w:cs="Arial" w:hint="eastAsia"/>
          <w:sz w:val="24"/>
        </w:rPr>
        <w:t>．</w:t>
      </w:r>
      <w:r>
        <w:rPr>
          <w:rFonts w:asciiTheme="minorEastAsia" w:eastAsiaTheme="minorEastAsia" w:hAnsiTheme="minorEastAsia" w:cs="Arial"/>
          <w:sz w:val="24"/>
        </w:rPr>
        <w:t>从事内幕交易、操纵证券交易价格及其他不正当的证券交易活动；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7</w:t>
      </w:r>
      <w:r>
        <w:rPr>
          <w:rFonts w:asciiTheme="minorEastAsia" w:eastAsiaTheme="minorEastAsia" w:hAnsiTheme="minorEastAsia" w:cs="Arial" w:hint="eastAsia"/>
          <w:sz w:val="24"/>
        </w:rPr>
        <w:t>．</w:t>
      </w:r>
      <w:r>
        <w:rPr>
          <w:rFonts w:asciiTheme="minorEastAsia" w:eastAsiaTheme="minorEastAsia" w:hAnsiTheme="minorEastAsia" w:cs="Arial"/>
          <w:sz w:val="24"/>
        </w:rPr>
        <w:t>法律、行政法规和中国证监会规定禁止的其他活动</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如法律、行政法规或监管部门取消上述禁止性规定，基金管理人在履行适当程序后，本基金可不受上述规定的限制。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基金托管人依照相关法律法规、基金合同及托管协议约定履行了监督职责，基</w:t>
      </w:r>
      <w:r>
        <w:rPr>
          <w:rFonts w:asciiTheme="minorEastAsia" w:eastAsiaTheme="minorEastAsia" w:hAnsiTheme="minorEastAsia" w:cs="Arial" w:hint="eastAsia"/>
          <w:sz w:val="24"/>
        </w:rPr>
        <w:lastRenderedPageBreak/>
        <w:t>金管理人仍违反法律法规规定或基金合同约定的投资禁</w:t>
      </w:r>
      <w:r>
        <w:rPr>
          <w:rFonts w:asciiTheme="minorEastAsia" w:eastAsiaTheme="minorEastAsia" w:hAnsiTheme="minorEastAsia" w:cs="Arial" w:hint="eastAsia"/>
          <w:sz w:val="24"/>
        </w:rPr>
        <w:t>止行为而造成基金财产损失的，由基金管理人承担责任，基金托管人不承担任何责任。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w:t>
      </w:r>
      <w:r>
        <w:rPr>
          <w:rFonts w:asciiTheme="minorEastAsia" w:eastAsiaTheme="minorEastAsia" w:hAnsiTheme="minorEastAsia" w:cs="Arial" w:hint="eastAsia"/>
          <w:sz w:val="24"/>
        </w:rPr>
        <w:t>基金管理人董事会应至少每半年对关联交易事项进行审查。</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（四）基金托管人根据有关法律法规的规定及《基金合同》的约定，对基金管理人参与银行间债券市场进行监督。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每年至少一次对银行间债券市场交易对手名</w:t>
      </w:r>
      <w:r>
        <w:rPr>
          <w:rFonts w:asciiTheme="minorEastAsia" w:eastAsiaTheme="minorEastAsia" w:hAnsiTheme="minorEastAsia" w:cs="Arial" w:hint="eastAsia"/>
          <w:sz w:val="24"/>
        </w:rPr>
        <w:t>单及结算方式进行更新，有</w:t>
      </w:r>
      <w:r>
        <w:rPr>
          <w:rFonts w:asciiTheme="minorEastAsia" w:eastAsiaTheme="minorEastAsia" w:hAnsiTheme="minorEastAsia" w:cs="Arial"/>
          <w:sz w:val="24"/>
        </w:rPr>
        <w:t>特殊</w:t>
      </w:r>
      <w:r>
        <w:rPr>
          <w:rFonts w:asciiTheme="minorEastAsia" w:eastAsiaTheme="minorEastAsia" w:hAnsiTheme="minorEastAsia" w:cs="Arial" w:hint="eastAsia"/>
          <w:sz w:val="24"/>
        </w:rPr>
        <w:t>情况</w:t>
      </w:r>
      <w:r>
        <w:rPr>
          <w:rFonts w:asciiTheme="minorEastAsia" w:eastAsiaTheme="minorEastAsia" w:hAnsiTheme="minorEastAsia" w:cs="Arial"/>
          <w:sz w:val="24"/>
        </w:rPr>
        <w:t>单独提出，</w:t>
      </w:r>
      <w:r>
        <w:rPr>
          <w:rFonts w:asciiTheme="minorEastAsia" w:eastAsiaTheme="minorEastAsia" w:hAnsiTheme="minorEastAsia" w:cs="Arial" w:hint="eastAsia"/>
          <w:sz w:val="24"/>
        </w:rPr>
        <w:t>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个工作日内与基金托管人协商解决。</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w:t>
      </w:r>
      <w:r>
        <w:rPr>
          <w:rFonts w:asciiTheme="minorEastAsia" w:eastAsiaTheme="minorEastAsia" w:hAnsiTheme="minorEastAsia" w:cs="Arial" w:hint="eastAsia"/>
          <w:sz w:val="24"/>
        </w:rPr>
        <w:t>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（五）基金托管人根据有关法律法规的规定及《基金合同》的约定，对基金管理人投资流通受限证券进行监督。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基金管理人投资流通受限证券，应事先根据中国证监会相关规定，明确基金投资流通受限证券的比例，制订严格的投资</w:t>
      </w:r>
      <w:r>
        <w:rPr>
          <w:rFonts w:asciiTheme="minorEastAsia" w:eastAsiaTheme="minorEastAsia" w:hAnsiTheme="minorEastAsia" w:cs="Arial" w:hint="eastAsia"/>
          <w:sz w:val="24"/>
        </w:rPr>
        <w:t>决策流程和风险控制制度，防范流动性风险、法律风险和操作风险等各种风险。基金托管人对基金管理人是否遵守相关制度、流动性风险处置预案以及相关投资额度和比例等的情况进行监督。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本基金投资的流通受限证券限于可由中国证券登记结算有限责任公司或中</w:t>
      </w:r>
      <w:r>
        <w:rPr>
          <w:rFonts w:asciiTheme="minorEastAsia" w:eastAsiaTheme="minorEastAsia" w:hAnsiTheme="minorEastAsia" w:cs="Arial" w:hint="eastAsia"/>
          <w:sz w:val="24"/>
        </w:rPr>
        <w:t>央国债登记结算有限责任公司负责登记和存管，并可在证券交易所或全国银行间债券市场交易的证券。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本基金投资流通受限证券，不得预付任何形式的保证金。</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基金管理人投资非公开发行股票，应制订流动性风险处置预案并经其董事会批准。风险</w:t>
      </w:r>
      <w:r>
        <w:rPr>
          <w:rFonts w:asciiTheme="minorEastAsia" w:eastAsiaTheme="minorEastAsia" w:hAnsiTheme="minorEastAsia" w:cs="Arial" w:hint="eastAsia"/>
          <w:sz w:val="24"/>
        </w:rPr>
        <w:t>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Theme="minorEastAsia" w:eastAsiaTheme="minorEastAsia" w:hAnsiTheme="minorEastAsia" w:cs="Arial" w:hint="eastAsia"/>
          <w:sz w:val="24"/>
        </w:rPr>
        <w:t>流通受限证券导致的流动性风险，基金托管人不承担任何责任。如因基金管理人原因导致本基金出现损失致使基金托管人承担连带赔偿责任的，基金管理人应赔偿基金托管人由此遭受的损失。</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本基金投资非公开发行股票，基金管理人应至少于投资前三个工作日向基金托管人提交有关书面资料，并保证向基金托管人提供的有关资料真实、准确、完整。</w:t>
      </w:r>
      <w:r>
        <w:rPr>
          <w:rFonts w:asciiTheme="minorEastAsia" w:eastAsiaTheme="minorEastAsia" w:hAnsiTheme="minorEastAsia" w:cs="Arial" w:hint="eastAsia"/>
          <w:sz w:val="24"/>
        </w:rPr>
        <w:lastRenderedPageBreak/>
        <w:t>有关资料如有调整，基金管理人应及时提供调整后的资料。上述书面资料包括但不限于：</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）中国证监会批准发行非公开发行股票的批准文件。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2</w:t>
      </w:r>
      <w:r>
        <w:rPr>
          <w:rFonts w:asciiTheme="minorEastAsia" w:eastAsiaTheme="minorEastAsia" w:hAnsiTheme="minorEastAsia" w:cs="Arial"/>
          <w:sz w:val="24"/>
        </w:rPr>
        <w:t>）非公开发行股票有关发行数量、发行价格、锁定期等发行资料。</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3</w:t>
      </w:r>
      <w:r>
        <w:rPr>
          <w:rFonts w:asciiTheme="minorEastAsia" w:eastAsiaTheme="minorEastAsia" w:hAnsiTheme="minorEastAsia" w:cs="Arial"/>
          <w:sz w:val="24"/>
        </w:rPr>
        <w:t>）非公开发行股票发行人与中国证券登记结算有限责任公司或中央国债登记结算有限责任公司签订的证券登记及服务协议。</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4</w:t>
      </w:r>
      <w:r>
        <w:rPr>
          <w:rFonts w:asciiTheme="minorEastAsia" w:eastAsiaTheme="minorEastAsia" w:hAnsiTheme="minorEastAsia" w:cs="Arial"/>
          <w:sz w:val="24"/>
        </w:rPr>
        <w:t>）基金拟认购的数量、价格、总成本、账面价值。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本基金有关投资流通受限证券比例如违反有关限制规定，在合理期限内未能进行及时调整，基金管理人应在两个工作日内编制临时报告书，予以公告。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基金托管人根据有关规定有权对基金管理人进行以下事项监督：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）本基金投资流通受限证券时的法律法规遵守情况。</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2</w:t>
      </w:r>
      <w:r>
        <w:rPr>
          <w:rFonts w:asciiTheme="minorEastAsia" w:eastAsiaTheme="minorEastAsia" w:hAnsiTheme="minorEastAsia" w:cs="Arial"/>
          <w:sz w:val="24"/>
        </w:rPr>
        <w:t>）在基金投资流通受限证券管理工作方面有关制度、流动性风险处置预案的建立与完善情况。</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3</w:t>
      </w:r>
      <w:r>
        <w:rPr>
          <w:rFonts w:asciiTheme="minorEastAsia" w:eastAsiaTheme="minorEastAsia" w:hAnsiTheme="minorEastAsia" w:cs="Arial"/>
          <w:sz w:val="24"/>
        </w:rPr>
        <w:t>）有关比例限制的执行情况。</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4</w:t>
      </w:r>
      <w:r>
        <w:rPr>
          <w:rFonts w:asciiTheme="minorEastAsia" w:eastAsiaTheme="minorEastAsia" w:hAnsiTheme="minorEastAsia" w:cs="Arial"/>
          <w:sz w:val="24"/>
        </w:rPr>
        <w:t>）信息披露情况。</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相关法律法规对基金投资流通受限证券有新规定的，从其规定。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基金托管人对</w:t>
      </w:r>
      <w:r>
        <w:rPr>
          <w:rFonts w:asciiTheme="minorEastAsia" w:eastAsiaTheme="minorEastAsia" w:hAnsiTheme="minorEastAsia" w:cs="Arial" w:hint="eastAsia"/>
          <w:sz w:val="24"/>
        </w:rPr>
        <w:t>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（七）基金托管人根据有关法律法规的规定及《基金合同》的约定，对基金资产净值计算、各类基金份额净值计算、应收资金到账、基金费用开支及收入确定、基金收益分配、相关信息披露、</w:t>
      </w:r>
      <w:r>
        <w:rPr>
          <w:rFonts w:asciiTheme="minorEastAsia" w:eastAsiaTheme="minorEastAsia" w:hAnsiTheme="minorEastAsia" w:cs="Arial" w:hint="eastAsia"/>
          <w:sz w:val="24"/>
        </w:rPr>
        <w:t>基金宣传推介材料中登载基金业绩表现数据等进行</w:t>
      </w:r>
      <w:r>
        <w:rPr>
          <w:rFonts w:asciiTheme="minorEastAsia" w:eastAsiaTheme="minorEastAsia" w:hAnsiTheme="minorEastAsia" w:cs="Arial" w:hint="eastAsia"/>
          <w:sz w:val="24"/>
        </w:rPr>
        <w:lastRenderedPageBreak/>
        <w:t>监督和核查。</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w:t>
      </w:r>
      <w:r>
        <w:rPr>
          <w:rFonts w:asciiTheme="minorEastAsia" w:eastAsiaTheme="minorEastAsia" w:hAnsiTheme="minorEastAsia" w:cs="Arial" w:hint="eastAsia"/>
          <w:sz w:val="24"/>
        </w:rPr>
        <w:t>改正。基金管理人对基金托管人通知的违规事项未能在限期内纠正的，基金托管人应报告中国证监会。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（十）若基金托管人发现基金管理人依据交易程序已经生效的指令违反法律、行政法规和</w:t>
      </w:r>
      <w:r>
        <w:rPr>
          <w:rFonts w:asciiTheme="minorEastAsia" w:eastAsiaTheme="minorEastAsia" w:hAnsiTheme="minorEastAsia" w:cs="Arial" w:hint="eastAsia"/>
          <w:sz w:val="24"/>
        </w:rPr>
        <w:t>其他有关规定，或者违反《基金合同》约定的，应当立即通知基金管理人，由此造成的损失由基金管理人承担。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5" w:name="_Toc118212950"/>
      <w:bookmarkStart w:id="6" w:name="_Toc118774803"/>
      <w:bookmarkStart w:id="7" w:name="_Toc119402710"/>
      <w:bookmarkStart w:id="8" w:name="_Toc124325888"/>
      <w:bookmarkStart w:id="9" w:name="_Toc118972648"/>
      <w:bookmarkStart w:id="10" w:name="_Toc120435783"/>
      <w:bookmarkStart w:id="11" w:name="_Toc86726439"/>
      <w:bookmarkStart w:id="12" w:name="_Toc86727355"/>
      <w:bookmarkStart w:id="13" w:name="_Toc108512358"/>
      <w:bookmarkStart w:id="14" w:name="_Toc89163368"/>
      <w:bookmarkStart w:id="15" w:name="_Toc86649722"/>
      <w:bookmarkStart w:id="16" w:name="_Toc110761796"/>
      <w:bookmarkStart w:id="17" w:name="_Toc86223242"/>
      <w:bookmarkStart w:id="18" w:name="_Toc110830492"/>
      <w:bookmarkStart w:id="19" w:name="_Toc110765660"/>
      <w:bookmarkStart w:id="20" w:name="_Toc86737929"/>
      <w:bookmarkStart w:id="21" w:name="_Toc86225291"/>
      <w:r>
        <w:rPr>
          <w:rFonts w:asciiTheme="minorEastAsia" w:eastAsiaTheme="minorEastAsia" w:hAnsiTheme="minorEastAsia"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（一）基金管理人对基金托管人履行托管职责情况进行核查，核查事项包</w:t>
      </w:r>
      <w:r>
        <w:rPr>
          <w:rFonts w:asciiTheme="minorEastAsia" w:eastAsiaTheme="minorEastAsia" w:hAnsiTheme="minorEastAsia" w:cs="Arial" w:hint="eastAsia"/>
          <w:sz w:val="24"/>
        </w:rPr>
        <w:t>括基金托管人安全保管基金财产、开设基金财产的资金账户、证券账户以及投资所需的其他账户、复核基金管理人计算的基金资产净值和各类基金份额净值、根据基金管理人指令办理清算交收、相关信息披露和监督基金投资运作等行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w:t>
      </w:r>
      <w:r>
        <w:rPr>
          <w:rFonts w:asciiTheme="minorEastAsia" w:eastAsiaTheme="minorEastAsia" w:hAnsiTheme="minorEastAsia" w:cs="Arial" w:hint="eastAsia"/>
          <w:sz w:val="24"/>
        </w:rPr>
        <w:t>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w:t>
      </w:r>
      <w:r>
        <w:rPr>
          <w:rFonts w:asciiTheme="minorEastAsia" w:eastAsiaTheme="minorEastAsia" w:hAnsiTheme="minorEastAsia" w:cs="Arial" w:hint="eastAsia"/>
          <w:sz w:val="24"/>
        </w:rPr>
        <w:t>金管理人提出警告仍不改正的，基金管理人应报告中国证监会。</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22" w:name="_Toc120435784"/>
      <w:bookmarkStart w:id="23" w:name="_Toc108512359"/>
      <w:bookmarkStart w:id="24" w:name="_Toc118774804"/>
      <w:bookmarkStart w:id="25" w:name="_Toc86727356"/>
      <w:bookmarkStart w:id="26" w:name="_Toc86225292"/>
      <w:bookmarkStart w:id="27" w:name="_Toc86223243"/>
      <w:bookmarkStart w:id="28" w:name="_Toc86726440"/>
      <w:bookmarkStart w:id="29" w:name="_Toc86649723"/>
      <w:bookmarkStart w:id="30" w:name="_Toc86204789"/>
      <w:bookmarkStart w:id="31" w:name="_Toc84234435"/>
      <w:bookmarkStart w:id="32" w:name="_Toc89163369"/>
      <w:bookmarkStart w:id="33" w:name="_Toc86737930"/>
      <w:bookmarkStart w:id="34" w:name="_Toc118972649"/>
      <w:bookmarkStart w:id="35" w:name="_Toc119402711"/>
      <w:bookmarkStart w:id="36" w:name="_Toc84234388"/>
      <w:bookmarkStart w:id="37" w:name="_Toc118212951"/>
      <w:bookmarkStart w:id="38" w:name="_Toc110830493"/>
      <w:bookmarkStart w:id="39" w:name="_Toc110765661"/>
      <w:bookmarkStart w:id="40" w:name="_Toc84133786"/>
      <w:bookmarkStart w:id="41" w:name="_Toc124325889"/>
      <w:bookmarkStart w:id="42" w:name="_Toc110761797"/>
      <w:r>
        <w:rPr>
          <w:rFonts w:asciiTheme="minorEastAsia" w:eastAsiaTheme="minorEastAsia" w:hAnsiTheme="minorEastAsia"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（一）基金财产保管的原则</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基金财产应独立于基金管理人、基金托管人的固有财产。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基金托管人应安全保管基金财产。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基金托管人按照规定开设基金财产的资金账户、证券账户以及投资所需的其他账户。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基金托管人对所托管的不同基金财产分别设置账户，确保基金财产的完整与独立。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交易</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或登记结算机构扣收交易费、结算费和账户维护费等费用）。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对于因为基金投资产生的应收资产，应由基金管理人负责与有关当事人确定</w:t>
      </w:r>
      <w:r>
        <w:rPr>
          <w:rFonts w:asciiTheme="minorEastAsia" w:eastAsiaTheme="minorEastAsia" w:hAnsiTheme="minorEastAsia" w:cs="Arial" w:hint="eastAsia"/>
          <w:sz w:val="24"/>
        </w:rPr>
        <w:lastRenderedPageBreak/>
        <w:t>到账日期并通知基金托管人，到账日基金财产没有到达基金账户的，基金托管人应及时通知基金管理人采取措施进行催收。由此给基金财产造成损失的，</w:t>
      </w:r>
      <w:r>
        <w:rPr>
          <w:rFonts w:asciiTheme="minorEastAsia" w:eastAsiaTheme="minorEastAsia" w:hAnsiTheme="minorEastAsia" w:cs="Arial" w:hint="eastAsia"/>
          <w:sz w:val="24"/>
        </w:rPr>
        <w:t>基金管理人应负责向有关当事人追偿基金财产的损失，基金托管人对此不承担任何责任。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除依据法律法规和《基金合同》的规定外，基金托管人不得委托第三人托管基金财产。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（二）基金募集期间及募集资金的验资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基金募集期间募集的资金应存于基金管理人在基金托管人的营业机构开立的“基金募集专户”。该账户由基金管理人开立并管理。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w:t>
      </w:r>
      <w:r>
        <w:rPr>
          <w:rFonts w:asciiTheme="minorEastAsia" w:eastAsiaTheme="minorEastAsia" w:hAnsiTheme="minorEastAsia" w:cs="Arial" w:hint="eastAsia"/>
          <w:sz w:val="24"/>
        </w:rPr>
        <w:t>户，同时在规定时间内，聘请具有从事证券相关业务资格的会计师事务所进行验资，出具验资报告。出具的验资报告由参加验资的</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名或</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名以上中国注册会计师签字方为有效。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若基金募集期限届满，未能达到《基金合同》生效的条件，由基金管理人按规定办理退款等事宜，基金托管人应提供充分协助。</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（三）基金银行账户的开立和管理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基金托管人</w:t>
      </w:r>
      <w:r>
        <w:rPr>
          <w:rFonts w:asciiTheme="minorEastAsia" w:eastAsiaTheme="minorEastAsia" w:hAnsiTheme="minorEastAsia" w:cs="Arial"/>
          <w:sz w:val="24"/>
        </w:rPr>
        <w:t>应</w:t>
      </w:r>
      <w:r>
        <w:rPr>
          <w:rFonts w:asciiTheme="minorEastAsia" w:eastAsiaTheme="minorEastAsia" w:hAnsiTheme="minorEastAsia" w:cs="Arial" w:hint="eastAsia"/>
          <w:sz w:val="24"/>
        </w:rPr>
        <w:t>以基金的名义在其营业机构开立基金的银行账户，并根据基金管理人合法合规的指令办理资金收付。本基金的银行预留印鉴由基金托管人保管和使用。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基金银行账户的开立和使用，限于满足开展本基金业务的</w:t>
      </w:r>
      <w:r>
        <w:rPr>
          <w:rFonts w:asciiTheme="minorEastAsia" w:eastAsiaTheme="minorEastAsia" w:hAnsiTheme="minorEastAsia" w:cs="Arial" w:hint="eastAsia"/>
          <w:sz w:val="24"/>
        </w:rPr>
        <w:t>需要。基金托管人和基金管理人不得假借本基金的名义开立任何其他银行账户；亦不得使用基金的任何账户进行本基金业务以外的活动。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基金银行账户的开立和管理应符合银行业监督管理机构的有关规定。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在符合法律法规规定的条件下，基金托管人可以通过基金托管人专用账户办理基金资产的支付。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（四）基金证券账户和结算备付金账户的开立和管理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基金托管人在中国证券登记结算有限责任公司为基金开立基金托管人与基金联名的证券账户。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基金证券账户的开立和使用，仅限于满足开展本基金业务的需要。基金托管人和基金管理人不得出借或未经对方同意擅自转让基金的任何证券账户，亦不得使</w:t>
      </w:r>
      <w:r>
        <w:rPr>
          <w:rFonts w:asciiTheme="minorEastAsia" w:eastAsiaTheme="minorEastAsia" w:hAnsiTheme="minorEastAsia" w:cs="Arial" w:hint="eastAsia"/>
          <w:sz w:val="24"/>
        </w:rPr>
        <w:lastRenderedPageBreak/>
        <w:t>用基金的任何账户进行本基金业务以外的活动。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基金证券账户的开立和证券账户卡的保管由基金托管人负责，账户资产的管理和运用由基金管理人负责。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证券账户开户费由基金管理人先行垫付</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待基金启始运营后</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基金管理人可向基金托管人发送划款指令</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将代垫开户费从本基金托管资金账户中扣还基金管理人。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基金托管人以基金托管人的名义在中国证券登记结算有限责任公司开立结算备付金账户，并</w:t>
      </w:r>
      <w:r>
        <w:rPr>
          <w:rFonts w:asciiTheme="minorEastAsia" w:eastAsiaTheme="minorEastAsia" w:hAnsiTheme="minorEastAsia" w:cs="Arial" w:hint="eastAsia"/>
          <w:sz w:val="24"/>
        </w:rPr>
        <w:t>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若中国证监会或其他监管机构在本托管协议订立日之后允许基金</w:t>
      </w:r>
      <w:r>
        <w:rPr>
          <w:rFonts w:asciiTheme="minorEastAsia" w:eastAsiaTheme="minorEastAsia" w:hAnsiTheme="minorEastAsia" w:cs="Arial" w:hint="eastAsia"/>
          <w:sz w:val="24"/>
        </w:rPr>
        <w:t>从事其他投资品种的投资业务，涉及相关账户的开立、使用的，若无相关规定，则基金托管人比照上述关于账户开立、使用的规定执行。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（五）债券托管专户的开设和管理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w:t>
      </w:r>
      <w:r>
        <w:rPr>
          <w:rFonts w:asciiTheme="minorEastAsia" w:eastAsiaTheme="minorEastAsia" w:hAnsiTheme="minorEastAsia" w:cs="Arial" w:hint="eastAsia"/>
          <w:sz w:val="24"/>
        </w:rPr>
        <w:t>）其他账户的开立和管理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法律法规等有关规定对相关账户的开立和管理另有规定的，从其规定办理。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（七）基金财产投资的有关有价凭证等的保管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基金财产投资的有关实物证券、银行存款开户证实书等有价凭证由基金托管人</w:t>
      </w:r>
      <w:r>
        <w:rPr>
          <w:rFonts w:asciiTheme="minorEastAsia" w:eastAsiaTheme="minorEastAsia" w:hAnsiTheme="minorEastAsia" w:cs="Arial" w:hint="eastAsia"/>
          <w:sz w:val="24"/>
        </w:rPr>
        <w:lastRenderedPageBreak/>
        <w:t>存放于基金托管人的保管库，也可存入中央国债登记结算有限责任公</w:t>
      </w:r>
      <w:r>
        <w:rPr>
          <w:rFonts w:asciiTheme="minorEastAsia" w:eastAsiaTheme="minorEastAsia" w:hAnsiTheme="minorEastAsia" w:cs="Arial" w:hint="eastAsia"/>
          <w:sz w:val="24"/>
        </w:rPr>
        <w:t>司、中国证券登记结算有限责任公司上海分公司</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深圳分公司</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（八）与基金财产有关的重大合同的保管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对于无法取得二份以上的正本的，基金管理人应向基金托管人提供加盖授权业务章的合同复印件或传真件，未经双方协商或未在合同约定范围内，合同原件不得转移。</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43" w:name="_Toc118972650"/>
      <w:bookmarkStart w:id="44" w:name="_Toc118212952"/>
      <w:bookmarkStart w:id="45" w:name="_Toc110765662"/>
      <w:bookmarkStart w:id="46" w:name="_Toc86726441"/>
      <w:bookmarkStart w:id="47" w:name="_Toc84234389"/>
      <w:bookmarkStart w:id="48" w:name="_Toc84133787"/>
      <w:bookmarkStart w:id="49" w:name="_Toc124325890"/>
      <w:bookmarkStart w:id="50" w:name="_Toc84234436"/>
      <w:bookmarkStart w:id="51" w:name="_Toc120435785"/>
      <w:bookmarkStart w:id="52" w:name="_Toc119402712"/>
      <w:bookmarkStart w:id="53" w:name="_Toc110830494"/>
      <w:bookmarkStart w:id="54" w:name="_Toc86727357"/>
      <w:bookmarkStart w:id="55" w:name="_Toc118774805"/>
      <w:bookmarkStart w:id="56" w:name="_Toc86649724"/>
      <w:bookmarkStart w:id="57" w:name="_Toc89163370"/>
      <w:bookmarkStart w:id="58" w:name="_Toc110761798"/>
      <w:bookmarkStart w:id="59" w:name="_Toc86223244"/>
      <w:bookmarkStart w:id="60" w:name="_Toc86225293"/>
      <w:bookmarkStart w:id="61" w:name="_Toc86204790"/>
      <w:bookmarkStart w:id="62" w:name="_Toc108512360"/>
      <w:bookmarkStart w:id="63" w:name="_Toc86737931"/>
      <w:r>
        <w:rPr>
          <w:rFonts w:asciiTheme="minorEastAsia" w:eastAsiaTheme="minorEastAsia" w:hAnsiTheme="minorEastAsia"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（一）基金管理人对发送指令人员的书面授权</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基金管理人应指定专人向基金托管人发送指令。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基金管理人应向基金托管人提供书面授权文件，内容包括被授权人名单、预留印鉴及被授权人签字样本，授权文件应</w:t>
      </w:r>
      <w:r>
        <w:rPr>
          <w:rFonts w:asciiTheme="minorEastAsia" w:eastAsiaTheme="minorEastAsia" w:hAnsiTheme="minorEastAsia" w:cs="Arial" w:hint="eastAsia"/>
          <w:sz w:val="24"/>
        </w:rPr>
        <w:t>注明被授权人相应的权限。</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w:t>
      </w:r>
      <w:r>
        <w:rPr>
          <w:rFonts w:asciiTheme="minorEastAsia" w:eastAsiaTheme="minorEastAsia" w:hAnsiTheme="minorEastAsia" w:cs="Arial" w:hint="eastAsia"/>
          <w:sz w:val="24"/>
        </w:rPr>
        <w:lastRenderedPageBreak/>
        <w:t>权文件的生效时间。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基金管理人和基金托管人对授权文件负有保密义务，其内容不得向被授权人及相关操作人员以外的任何人泄露。但法律法规规定或有权机关要求的除外。</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（二）指令的内容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指令包括付款指令以及其他资金划拨指令等。</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基金管理人发给基金托管人的指令应写明款项事由</w:t>
      </w:r>
      <w:r>
        <w:rPr>
          <w:rFonts w:asciiTheme="minorEastAsia" w:eastAsiaTheme="minorEastAsia" w:hAnsiTheme="minorEastAsia" w:cs="Arial" w:hint="eastAsia"/>
          <w:sz w:val="24"/>
        </w:rPr>
        <w:t>、支付时间、到账时间、金额、账户等，加盖预留印鉴并由被授权人签字。</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（三）指令的发送、确认及执行的时间和程序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指令的发送</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基金管理人发送指令应采用加密传真方式或双方协商一致的其他方式。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w:t>
      </w:r>
      <w:r>
        <w:rPr>
          <w:rFonts w:asciiTheme="minorEastAsia" w:eastAsiaTheme="minorEastAsia" w:hAnsiTheme="minorEastAsia" w:cs="Arial" w:hint="eastAsia"/>
          <w:sz w:val="24"/>
        </w:rPr>
        <w:t>指令，基金管理人不承担责任，授权已更改但未经基金托管人确认的情况除外。</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指令发出后，基金管理人应及时以电话方式向基金托管人确认。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指令的确认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w:t>
      </w:r>
      <w:r>
        <w:rPr>
          <w:rFonts w:asciiTheme="minorEastAsia" w:eastAsiaTheme="minorEastAsia" w:hAnsiTheme="minorEastAsia" w:cs="Arial" w:hint="eastAsia"/>
          <w:sz w:val="24"/>
        </w:rPr>
        <w:t>指定专人立即审慎验证指令的要素是否齐全，并将指令所载签字和印鉴与授权文件进行表面真实性及权限范围核对，复核无误后应在规定期限内执行，不得延误，如有疑问必须及时通知基金管理人。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指令的时间和执行</w:t>
      </w:r>
    </w:p>
    <w:p w:rsidR="006109AE" w:rsidRDefault="00754B7E">
      <w:pPr>
        <w:adjustRightInd w:val="0"/>
        <w:snapToGrid w:val="0"/>
        <w:spacing w:line="360" w:lineRule="auto"/>
        <w:ind w:firstLineChars="200" w:firstLine="480"/>
        <w:rPr>
          <w:rFonts w:asciiTheme="minorEastAsia" w:eastAsiaTheme="minorEastAsia" w:hAnsiTheme="minorEastAsia" w:cs="Arial"/>
        </w:rPr>
      </w:pPr>
      <w:r>
        <w:rPr>
          <w:rFonts w:asciiTheme="minorEastAsia" w:eastAsiaTheme="minorEastAsia" w:hAnsiTheme="minorEastAsia" w:cs="Arial" w:hint="eastAsia"/>
          <w:sz w:val="24"/>
        </w:rPr>
        <w:t>基金管理人尽量于划款前</w:t>
      </w:r>
      <w:r>
        <w:rPr>
          <w:rFonts w:asciiTheme="minorEastAsia" w:eastAsiaTheme="minorEastAsia" w:hAnsiTheme="minorEastAsia" w:cs="Arial"/>
          <w:sz w:val="24"/>
        </w:rPr>
        <w:t>1</w:t>
      </w:r>
      <w:r>
        <w:rPr>
          <w:rFonts w:asciiTheme="minorEastAsia" w:eastAsiaTheme="minorEastAsia" w:hAnsiTheme="minorEastAsia" w:cs="Arial"/>
          <w:sz w:val="24"/>
        </w:rPr>
        <w:t>个工作日向基金托管人发送指令并确认。对于要求当天到账的指令，必须在当天</w:t>
      </w:r>
      <w:r>
        <w:rPr>
          <w:rFonts w:asciiTheme="minorEastAsia" w:eastAsiaTheme="minorEastAsia" w:hAnsiTheme="minorEastAsia" w:cs="Arial"/>
          <w:sz w:val="24"/>
        </w:rPr>
        <w:t>15:30</w:t>
      </w:r>
      <w:r>
        <w:rPr>
          <w:rFonts w:asciiTheme="minorEastAsia" w:eastAsiaTheme="minorEastAsia" w:hAnsiTheme="minorEastAsia" w:cs="Arial"/>
          <w:sz w:val="24"/>
        </w:rPr>
        <w:t>前向基金托管人发送，</w:t>
      </w:r>
      <w:r>
        <w:rPr>
          <w:rFonts w:asciiTheme="minorEastAsia" w:eastAsiaTheme="minorEastAsia" w:hAnsiTheme="minorEastAsia" w:cs="Arial"/>
          <w:sz w:val="24"/>
        </w:rPr>
        <w:t>15:30</w:t>
      </w:r>
      <w:r>
        <w:rPr>
          <w:rFonts w:asciiTheme="minorEastAsia" w:eastAsiaTheme="minorEastAsia" w:hAnsiTheme="minorEastAsia" w:cs="Arial"/>
          <w:sz w:val="24"/>
        </w:rPr>
        <w:t>之后发送的，基</w:t>
      </w:r>
      <w:r>
        <w:rPr>
          <w:rFonts w:asciiTheme="minorEastAsia" w:eastAsiaTheme="minorEastAsia" w:hAnsiTheme="minorEastAsia" w:cs="Arial"/>
          <w:sz w:val="24"/>
        </w:rPr>
        <w:lastRenderedPageBreak/>
        <w:t>金托管人尽力执行，但不能保证划账成功。如果要求当天某一时点到账的指令，则指令需要提前</w:t>
      </w:r>
      <w:r>
        <w:rPr>
          <w:rFonts w:asciiTheme="minorEastAsia" w:eastAsiaTheme="minorEastAsia" w:hAnsiTheme="minorEastAsia" w:cs="Arial"/>
          <w:sz w:val="24"/>
        </w:rPr>
        <w:t>2</w:t>
      </w:r>
      <w:r>
        <w:rPr>
          <w:rFonts w:asciiTheme="minorEastAsia" w:eastAsiaTheme="minorEastAsia" w:hAnsiTheme="minorEastAsia" w:cs="Arial"/>
          <w:sz w:val="24"/>
        </w:rPr>
        <w:t>个工作小时发送，并相关付款条件已经具备。基金托管人将视付款条件具备时为指令送达时间。对新股申购网下发行业务，基金管理人应在网下申购缴款日</w:t>
      </w:r>
      <w:r>
        <w:rPr>
          <w:rFonts w:asciiTheme="minorEastAsia" w:eastAsiaTheme="minorEastAsia" w:hAnsiTheme="minorEastAsia" w:cs="Arial"/>
          <w:sz w:val="24"/>
        </w:rPr>
        <w:t>(T</w:t>
      </w:r>
      <w:r>
        <w:rPr>
          <w:rFonts w:asciiTheme="minorEastAsia" w:eastAsiaTheme="minorEastAsia" w:hAnsiTheme="minorEastAsia" w:cs="Arial"/>
          <w:sz w:val="24"/>
        </w:rPr>
        <w:t>日</w:t>
      </w:r>
      <w:r>
        <w:rPr>
          <w:rFonts w:asciiTheme="minorEastAsia" w:eastAsiaTheme="minorEastAsia" w:hAnsiTheme="minorEastAsia" w:cs="Arial"/>
          <w:sz w:val="24"/>
        </w:rPr>
        <w:t>)</w:t>
      </w:r>
      <w:r>
        <w:rPr>
          <w:rFonts w:asciiTheme="minorEastAsia" w:eastAsiaTheme="minorEastAsia" w:hAnsiTheme="minorEastAsia" w:cs="Arial"/>
          <w:sz w:val="24"/>
        </w:rPr>
        <w:t>的前一工作日下班前将指令发送给基金托管人，指令发送时间最迟不应晚于</w:t>
      </w:r>
      <w:r>
        <w:rPr>
          <w:rFonts w:asciiTheme="minorEastAsia" w:eastAsiaTheme="minorEastAsia" w:hAnsiTheme="minorEastAsia" w:cs="Arial"/>
          <w:sz w:val="24"/>
        </w:rPr>
        <w:t>T</w:t>
      </w:r>
      <w:r>
        <w:rPr>
          <w:rFonts w:asciiTheme="minorEastAsia" w:eastAsiaTheme="minorEastAsia" w:hAnsiTheme="minorEastAsia" w:cs="Arial"/>
          <w:sz w:val="24"/>
        </w:rPr>
        <w:t>日上午</w:t>
      </w:r>
      <w:r>
        <w:rPr>
          <w:rFonts w:asciiTheme="minorEastAsia" w:eastAsiaTheme="minorEastAsia" w:hAnsiTheme="minorEastAsia" w:cs="Arial"/>
          <w:sz w:val="24"/>
        </w:rPr>
        <w:t>10:00</w:t>
      </w:r>
      <w:r>
        <w:rPr>
          <w:rFonts w:asciiTheme="minorEastAsia" w:eastAsiaTheme="minorEastAsia" w:hAnsiTheme="minorEastAsia" w:cs="Arial"/>
          <w:sz w:val="24"/>
        </w:rPr>
        <w:t>。对于中国证券登记结算有限责任公司实行</w:t>
      </w:r>
      <w:r>
        <w:rPr>
          <w:rFonts w:asciiTheme="minorEastAsia" w:eastAsiaTheme="minorEastAsia" w:hAnsiTheme="minorEastAsia" w:cs="Arial"/>
          <w:sz w:val="24"/>
        </w:rPr>
        <w:t>T+0</w:t>
      </w:r>
      <w:r>
        <w:rPr>
          <w:rFonts w:asciiTheme="minorEastAsia" w:eastAsiaTheme="minorEastAsia" w:hAnsiTheme="minorEastAsia" w:cs="Arial"/>
          <w:sz w:val="24"/>
        </w:rPr>
        <w:t>非担保交收的业务，基金管理人</w:t>
      </w:r>
      <w:r>
        <w:rPr>
          <w:rFonts w:asciiTheme="minorEastAsia" w:eastAsiaTheme="minorEastAsia" w:hAnsiTheme="minorEastAsia" w:cs="Arial"/>
          <w:sz w:val="24"/>
        </w:rPr>
        <w:t>应在交易日</w:t>
      </w:r>
      <w:r>
        <w:rPr>
          <w:rFonts w:asciiTheme="minorEastAsia" w:eastAsiaTheme="minorEastAsia" w:hAnsiTheme="minorEastAsia" w:cs="Arial"/>
          <w:sz w:val="24"/>
        </w:rPr>
        <w:t>14</w:t>
      </w:r>
      <w:r>
        <w:rPr>
          <w:rFonts w:asciiTheme="minorEastAsia" w:eastAsiaTheme="minorEastAsia" w:hAnsiTheme="minorEastAsia" w:cs="Arial"/>
          <w:sz w:val="24"/>
        </w:rPr>
        <w:t>：</w:t>
      </w:r>
      <w:r>
        <w:rPr>
          <w:rFonts w:asciiTheme="minorEastAsia" w:eastAsiaTheme="minorEastAsia" w:hAnsiTheme="minorEastAsia" w:cs="Arial"/>
          <w:sz w:val="24"/>
        </w:rPr>
        <w:t>00</w:t>
      </w:r>
      <w:r>
        <w:rPr>
          <w:rFonts w:asciiTheme="minorEastAsia" w:eastAsiaTheme="minorEastAsia" w:hAnsiTheme="minorEastAsia" w:cs="Arial"/>
          <w:sz w:val="24"/>
        </w:rPr>
        <w:t>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6109AE" w:rsidRDefault="00754B7E">
      <w:pPr>
        <w:adjustRightInd w:val="0"/>
        <w:snapToGrid w:val="0"/>
        <w:spacing w:line="360" w:lineRule="auto"/>
        <w:ind w:firstLineChars="200" w:firstLine="480"/>
        <w:rPr>
          <w:rFonts w:asciiTheme="minorEastAsia" w:eastAsiaTheme="minorEastAsia" w:hAnsiTheme="minorEastAsia" w:cs="Arial"/>
        </w:rPr>
      </w:pPr>
      <w:r>
        <w:rPr>
          <w:rFonts w:asciiTheme="minorEastAsia" w:eastAsiaTheme="minorEastAsia" w:hAnsiTheme="minorEastAsia" w:cs="Arial" w:hint="eastAsia"/>
          <w:sz w:val="24"/>
        </w:rPr>
        <w:t>（四）基金管理人发送错误指令的情形和处理程序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基金管理人发送错误指令的情形包括指令违反法律法规和《基金合同》，</w:t>
      </w:r>
      <w:r>
        <w:rPr>
          <w:rFonts w:asciiTheme="minorEastAsia" w:eastAsiaTheme="minorEastAsia" w:hAnsiTheme="minorEastAsia" w:cs="Arial" w:hint="eastAsia"/>
          <w:sz w:val="24"/>
        </w:rPr>
        <w:t>指令发送人员无权或超越权限发送指令。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（五）基金托管人依照法律法规暂缓、拒绝执行指令的情形和处理程序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若基金托管人发现基金管理人的指令违反法律法规，或者违反《基金合同》约定的，应当拒绝执行，立即通知基金管理人。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（六）基金托管人未按照基金管理人指令执行的处理方法</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基金托管人由于自身原因，未按照基金管理人发送的指令执行并对基金财产或投资人造成的直接损失，由基金托管人赔偿由此造成的直接损失。</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（七）更换被授权人员的程序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w:t>
      </w:r>
      <w:r>
        <w:rPr>
          <w:rFonts w:asciiTheme="minorEastAsia" w:eastAsiaTheme="minorEastAsia" w:hAnsiTheme="minorEastAsia" w:cs="Arial" w:hint="eastAsia"/>
          <w:sz w:val="24"/>
        </w:rPr>
        <w:t>换</w:t>
      </w:r>
      <w:r>
        <w:rPr>
          <w:rFonts w:asciiTheme="minorEastAsia" w:eastAsiaTheme="minorEastAsia" w:hAnsiTheme="minorEastAsia" w:cs="Arial"/>
          <w:sz w:val="24"/>
        </w:rPr>
        <w:t>接收</w:t>
      </w:r>
      <w:r>
        <w:rPr>
          <w:rFonts w:asciiTheme="minorEastAsia" w:eastAsiaTheme="minorEastAsia" w:hAnsiTheme="minorEastAsia" w:cs="Arial" w:hint="eastAsia"/>
          <w:sz w:val="24"/>
        </w:rPr>
        <w:t>基金管理人指令的人员，应提前通过录音电话通知基金管理人。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（八）其他事项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64" w:name="_Toc86737932"/>
      <w:bookmarkStart w:id="65" w:name="_Toc86727358"/>
      <w:bookmarkStart w:id="66" w:name="_Toc86649725"/>
      <w:bookmarkStart w:id="67" w:name="_Toc86225294"/>
      <w:bookmarkStart w:id="68" w:name="_Toc108512361"/>
      <w:bookmarkStart w:id="69" w:name="_Toc89163371"/>
      <w:bookmarkStart w:id="70" w:name="_Toc86726442"/>
      <w:bookmarkStart w:id="71" w:name="_Toc110765663"/>
      <w:bookmarkStart w:id="72" w:name="_Toc110761799"/>
      <w:bookmarkStart w:id="73" w:name="_Toc118212953"/>
      <w:bookmarkStart w:id="74" w:name="_Toc110830495"/>
      <w:bookmarkStart w:id="75" w:name="_Toc86223245"/>
      <w:bookmarkStart w:id="76" w:name="_Toc86204791"/>
      <w:bookmarkStart w:id="77" w:name="_Toc120435786"/>
      <w:bookmarkStart w:id="78" w:name="_Toc119402713"/>
      <w:bookmarkStart w:id="79" w:name="_Toc118972651"/>
      <w:bookmarkStart w:id="80" w:name="_Toc84234437"/>
      <w:bookmarkStart w:id="81" w:name="_Toc124325891"/>
      <w:bookmarkStart w:id="82" w:name="_Toc84133788"/>
      <w:bookmarkStart w:id="83" w:name="_Toc118774806"/>
      <w:bookmarkStart w:id="84" w:name="_Toc84234390"/>
      <w:r>
        <w:rPr>
          <w:rFonts w:asciiTheme="minorEastAsia" w:eastAsiaTheme="minorEastAsia" w:hAnsiTheme="minorEastAsia"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（一）选择证券买卖的证券经营机构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w:t>
      </w:r>
      <w:r>
        <w:rPr>
          <w:rFonts w:asciiTheme="minorEastAsia" w:eastAsiaTheme="minorEastAsia" w:hAnsiTheme="minorEastAsia" w:cs="Arial" w:hint="eastAsia"/>
          <w:sz w:val="24"/>
        </w:rPr>
        <w:t>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（二）基金投资证券后的清算交收安排</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清算</w:t>
      </w:r>
      <w:r>
        <w:rPr>
          <w:rFonts w:asciiTheme="minorEastAsia" w:eastAsiaTheme="minorEastAsia" w:hAnsiTheme="minorEastAsia" w:cs="Arial" w:hint="eastAsia"/>
          <w:sz w:val="24"/>
        </w:rPr>
        <w:t>与交割</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基金管理人与基金托管人应根据有关法律法规及相关业务规则，签订《托管银行证券资金结算协议》，用以具体明确基金管理人与基金托管人在证券交易资金结算业务中的责任。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根据中国证券登记结算有限责任公司规定，在每月前</w:t>
      </w:r>
      <w:r>
        <w:rPr>
          <w:rFonts w:asciiTheme="minorEastAsia" w:eastAsiaTheme="minorEastAsia" w:hAnsiTheme="minorEastAsia" w:cs="Arial"/>
          <w:sz w:val="24"/>
        </w:rPr>
        <w:t>3</w:t>
      </w:r>
      <w:r>
        <w:rPr>
          <w:rFonts w:asciiTheme="minorEastAsia" w:eastAsiaTheme="minorEastAsia" w:hAnsiTheme="minorEastAsia" w:cs="Arial"/>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w:t>
      </w:r>
      <w:r>
        <w:rPr>
          <w:rFonts w:asciiTheme="minorEastAsia" w:eastAsiaTheme="minorEastAsia" w:hAnsiTheme="minorEastAsia" w:cs="Arial"/>
          <w:sz w:val="24"/>
        </w:rPr>
        <w:t>责任公司确定的实际最低备付金、结算保证金数据为依据安排资金运作，调整所需的现金头寸。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基金托管人负责基金买卖证券的清算交收。场内资金结算由基金托管人根据中国证券登记结算有限责任公司结算数据办理；场外资金汇划由基金托管人根据基金管理人的交易划款指令具体办理。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w:t>
      </w:r>
      <w:r>
        <w:rPr>
          <w:rFonts w:asciiTheme="minorEastAsia" w:eastAsiaTheme="minorEastAsia" w:hAnsiTheme="minorEastAsia" w:cs="Arial" w:hint="eastAsia"/>
          <w:sz w:val="24"/>
        </w:rPr>
        <w:t>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基金管理人应采取合理、必要措施，确保</w:t>
      </w:r>
      <w:r>
        <w:rPr>
          <w:rFonts w:asciiTheme="minorEastAsia" w:eastAsiaTheme="minorEastAsia" w:hAnsiTheme="minorEastAsia" w:cs="Arial"/>
          <w:sz w:val="24"/>
        </w:rPr>
        <w:t>T</w:t>
      </w:r>
      <w:r>
        <w:rPr>
          <w:rFonts w:asciiTheme="minorEastAsia" w:eastAsiaTheme="minorEastAsia" w:hAnsiTheme="minorEastAsia" w:cs="Arial"/>
          <w:sz w:val="24"/>
        </w:rPr>
        <w:t>日日终有足够的资金头寸完成</w:t>
      </w:r>
      <w:r>
        <w:rPr>
          <w:rFonts w:asciiTheme="minorEastAsia" w:eastAsiaTheme="minorEastAsia" w:hAnsiTheme="minorEastAsia" w:cs="Arial"/>
          <w:sz w:val="24"/>
        </w:rPr>
        <w:t xml:space="preserve"> T+1</w:t>
      </w:r>
      <w:r>
        <w:rPr>
          <w:rFonts w:asciiTheme="minorEastAsia" w:eastAsiaTheme="minorEastAsia" w:hAnsiTheme="minorEastAsia" w:cs="Arial"/>
          <w:sz w:val="24"/>
        </w:rPr>
        <w:t>日</w:t>
      </w:r>
      <w:r>
        <w:rPr>
          <w:rFonts w:asciiTheme="minorEastAsia" w:eastAsiaTheme="minorEastAsia" w:hAnsiTheme="minorEastAsia" w:cs="Arial" w:hint="eastAsia"/>
          <w:sz w:val="24"/>
        </w:rPr>
        <w:t>中国证券登记结算有限责任公司的资金交收；如因基金管理人原因导致资金头寸不足，基金管理人应在</w:t>
      </w:r>
      <w:r>
        <w:rPr>
          <w:rFonts w:asciiTheme="minorEastAsia" w:eastAsiaTheme="minorEastAsia" w:hAnsiTheme="minorEastAsia" w:cs="Arial"/>
          <w:sz w:val="24"/>
        </w:rPr>
        <w:t>T+1</w:t>
      </w:r>
      <w:r>
        <w:rPr>
          <w:rFonts w:asciiTheme="minorEastAsia" w:eastAsiaTheme="minorEastAsia" w:hAnsiTheme="minorEastAsia" w:cs="Arial"/>
          <w:sz w:val="24"/>
        </w:rPr>
        <w:t>日上午</w:t>
      </w:r>
      <w:r>
        <w:rPr>
          <w:rFonts w:asciiTheme="minorEastAsia" w:eastAsiaTheme="minorEastAsia" w:hAnsiTheme="minorEastAsia" w:cs="Arial"/>
          <w:sz w:val="24"/>
        </w:rPr>
        <w:t>12</w:t>
      </w:r>
      <w:r>
        <w:rPr>
          <w:rFonts w:asciiTheme="minorEastAsia" w:eastAsiaTheme="minorEastAsia" w:hAnsiTheme="minorEastAsia" w:cs="Arial"/>
          <w:sz w:val="24"/>
        </w:rPr>
        <w:t>：</w:t>
      </w:r>
      <w:r>
        <w:rPr>
          <w:rFonts w:asciiTheme="minorEastAsia" w:eastAsiaTheme="minorEastAsia" w:hAnsiTheme="minorEastAsia" w:cs="Arial"/>
          <w:sz w:val="24"/>
        </w:rPr>
        <w:t>00</w:t>
      </w:r>
      <w:r>
        <w:rPr>
          <w:rFonts w:asciiTheme="minorEastAsia" w:eastAsiaTheme="minorEastAsia" w:hAnsiTheme="minorEastAsia" w:cs="Arial"/>
          <w:sz w:val="24"/>
        </w:rPr>
        <w:t>前补足透支款项，确保资金清算。如果未遵循上述</w:t>
      </w:r>
      <w:r>
        <w:rPr>
          <w:rFonts w:asciiTheme="minorEastAsia" w:eastAsiaTheme="minorEastAsia" w:hAnsiTheme="minorEastAsia" w:cs="Arial"/>
          <w:sz w:val="24"/>
        </w:rPr>
        <w:t>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实行场内</w:t>
      </w:r>
      <w:r>
        <w:rPr>
          <w:rFonts w:asciiTheme="minorEastAsia" w:eastAsiaTheme="minorEastAsia" w:hAnsiTheme="minorEastAsia" w:cs="Arial"/>
          <w:sz w:val="24"/>
        </w:rPr>
        <w:t>T+0</w:t>
      </w:r>
      <w:r>
        <w:rPr>
          <w:rFonts w:asciiTheme="minorEastAsia" w:eastAsiaTheme="minorEastAsia" w:hAnsiTheme="minorEastAsia" w:cs="Arial"/>
          <w:sz w:val="24"/>
        </w:rPr>
        <w:t>交收的资金清算按照基</w:t>
      </w:r>
      <w:r>
        <w:rPr>
          <w:rFonts w:asciiTheme="minorEastAsia" w:eastAsiaTheme="minorEastAsia" w:hAnsiTheme="minorEastAsia" w:cs="Arial"/>
          <w:sz w:val="24"/>
        </w:rPr>
        <w:t>金托管人的相关规定流程执行。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交易记录、资金和证券账目核对的时间和方式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）交易记录的核对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）资金账目的核对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资金账目按日核实。</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）证券账目的核对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（三）基金申购和赎回业务处理的基本规定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基金份额申购、赎回的确认、清算由基金管理人或其委托的登记机构负责。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基金管理人应保证本基金（或本基金管理人委托）的登记机构每个工作日</w:t>
      </w:r>
      <w:r>
        <w:rPr>
          <w:rFonts w:asciiTheme="minorEastAsia" w:eastAsiaTheme="minorEastAsia" w:hAnsiTheme="minorEastAsia" w:cs="Arial" w:hint="eastAsia"/>
          <w:sz w:val="24"/>
        </w:rPr>
        <w:t>15:00</w:t>
      </w:r>
      <w:r>
        <w:rPr>
          <w:rFonts w:asciiTheme="minorEastAsia" w:eastAsiaTheme="minorEastAsia" w:hAnsiTheme="minorEastAsia" w:cs="Arial" w:hint="eastAsia"/>
          <w:sz w:val="24"/>
        </w:rPr>
        <w:t>前向基金托管人发送前一开放日上述有关数据，并保证相关数据的准确、完整。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登记机构应通过与基金托管人建立的加密系统发送有关数据</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包括电子数据和盖章生效的纸制清算汇总表</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，如因各种原因，该系统无法正常发送，双方可协商解决处理方式。基金管理人向基金托管人发送的数据，双方各自按有关规定保存。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如基金管理人委托其他机构办理本基金的登记业务，应保证上述相关事宜按时进行。否则，由基金管理人承担相应的责任。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关于清算专用账户的设立和管</w:t>
      </w:r>
      <w:r>
        <w:rPr>
          <w:rFonts w:asciiTheme="minorEastAsia" w:eastAsiaTheme="minorEastAsia" w:hAnsiTheme="minorEastAsia" w:cs="Arial" w:hint="eastAsia"/>
          <w:sz w:val="24"/>
        </w:rPr>
        <w:t>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为满足申购、赎回及分红资金汇划的需要，由基金管理人开立资金清算的专用账户，该账户由登记机构管理。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hint="eastAsia"/>
          <w:sz w:val="24"/>
        </w:rPr>
        <w:t>赎回和分红资金划拨规定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w:t>
      </w:r>
      <w:r>
        <w:rPr>
          <w:rFonts w:asciiTheme="minorEastAsia" w:eastAsiaTheme="minorEastAsia" w:hAnsiTheme="minorEastAsia" w:cs="Arial" w:hint="eastAsia"/>
          <w:sz w:val="24"/>
        </w:rPr>
        <w:t>如系基金管理人的原因造成，责任由基金管理人承担，基金托管人不承担垫款义务。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9.</w:t>
      </w:r>
      <w:r>
        <w:rPr>
          <w:rFonts w:asciiTheme="minorEastAsia" w:eastAsiaTheme="minorEastAsia" w:hAnsiTheme="minorEastAsia" w:cs="Arial" w:hint="eastAsia"/>
          <w:sz w:val="24"/>
        </w:rPr>
        <w:t>资金指令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资金指令的格式、内容、发送、接收和确认方式等与投资指令相同。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（四）申赎净额结算</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基金托管账户与“基金清算账户”间的资金结算遵循“全额清算、净额交收”的原则，每日</w:t>
      </w:r>
      <w:r>
        <w:rPr>
          <w:rFonts w:asciiTheme="minorEastAsia" w:eastAsiaTheme="minorEastAsia" w:hAnsiTheme="minorEastAsia" w:cs="Arial" w:hint="eastAsia"/>
          <w:sz w:val="24"/>
        </w:rPr>
        <w:t>(T</w:t>
      </w:r>
      <w:r>
        <w:rPr>
          <w:rFonts w:asciiTheme="minorEastAsia" w:eastAsiaTheme="minorEastAsia" w:hAnsiTheme="minorEastAsia" w:cs="Arial" w:hint="eastAsia"/>
          <w:sz w:val="24"/>
        </w:rPr>
        <w:t>日：资金交收日，下同</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按照托管账户应收资金</w:t>
      </w:r>
      <w:r>
        <w:rPr>
          <w:rFonts w:asciiTheme="minorEastAsia" w:eastAsiaTheme="minorEastAsia" w:hAnsiTheme="minorEastAsia" w:cs="Arial" w:hint="eastAsia"/>
          <w:sz w:val="24"/>
        </w:rPr>
        <w:t>(T-2</w:t>
      </w:r>
      <w:r>
        <w:rPr>
          <w:rFonts w:asciiTheme="minorEastAsia" w:eastAsiaTheme="minorEastAsia" w:hAnsiTheme="minorEastAsia" w:cs="Arial" w:hint="eastAsia"/>
          <w:sz w:val="24"/>
        </w:rPr>
        <w:t>日申购申请对应申购金额与</w:t>
      </w:r>
      <w:r>
        <w:rPr>
          <w:rFonts w:asciiTheme="minorEastAsia" w:eastAsiaTheme="minorEastAsia" w:hAnsiTheme="minorEastAsia" w:cs="Arial" w:hint="eastAsia"/>
          <w:sz w:val="24"/>
        </w:rPr>
        <w:t>T-3</w:t>
      </w:r>
      <w:r>
        <w:rPr>
          <w:rFonts w:asciiTheme="minorEastAsia" w:eastAsiaTheme="minorEastAsia" w:hAnsiTheme="minorEastAsia" w:cs="Arial" w:hint="eastAsia"/>
          <w:sz w:val="24"/>
        </w:rPr>
        <w:t>日基金转换入申请对应金额之和</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与应付</w:t>
      </w:r>
      <w:r>
        <w:rPr>
          <w:rFonts w:asciiTheme="minorEastAsia" w:eastAsiaTheme="minorEastAsia" w:hAnsiTheme="minorEastAsia" w:cs="Arial" w:hint="eastAsia"/>
          <w:sz w:val="24"/>
        </w:rPr>
        <w:t>资金</w:t>
      </w:r>
      <w:r>
        <w:rPr>
          <w:rFonts w:asciiTheme="minorEastAsia" w:eastAsiaTheme="minorEastAsia" w:hAnsiTheme="minorEastAsia" w:cs="Arial" w:hint="eastAsia"/>
          <w:sz w:val="24"/>
        </w:rPr>
        <w:t>(T-3</w:t>
      </w:r>
      <w:r>
        <w:rPr>
          <w:rFonts w:asciiTheme="minorEastAsia" w:eastAsiaTheme="minorEastAsia" w:hAnsiTheme="minorEastAsia" w:cs="Arial" w:hint="eastAsia"/>
          <w:sz w:val="24"/>
        </w:rPr>
        <w:t>日赎回申请对应赎回金额与</w:t>
      </w:r>
      <w:r>
        <w:rPr>
          <w:rFonts w:asciiTheme="minorEastAsia" w:eastAsiaTheme="minorEastAsia" w:hAnsiTheme="minorEastAsia" w:cs="Arial" w:hint="eastAsia"/>
          <w:sz w:val="24"/>
        </w:rPr>
        <w:t>T-3</w:t>
      </w:r>
      <w:r>
        <w:rPr>
          <w:rFonts w:asciiTheme="minorEastAsia" w:eastAsiaTheme="minorEastAsia" w:hAnsiTheme="minorEastAsia" w:cs="Arial" w:hint="eastAsia"/>
          <w:sz w:val="24"/>
        </w:rPr>
        <w:t>日基金转换出申请对应金额之和</w:t>
      </w:r>
      <w:r>
        <w:rPr>
          <w:rFonts w:asciiTheme="minorEastAsia" w:eastAsiaTheme="minorEastAsia" w:hAnsiTheme="minorEastAsia" w:cs="Arial"/>
          <w:sz w:val="24"/>
        </w:rPr>
        <w:t>)</w:t>
      </w:r>
      <w:r>
        <w:rPr>
          <w:rFonts w:asciiTheme="minorEastAsia" w:eastAsiaTheme="minorEastAsia" w:hAnsiTheme="minorEastAsia" w:cs="Arial"/>
          <w:sz w:val="24"/>
        </w:rPr>
        <w:t>的差额来确定托管账户净应收额或净应付额，以此确定资金交收额。当存在托管账户净应收额时，基金管理人应在</w:t>
      </w:r>
      <w:r>
        <w:rPr>
          <w:rFonts w:asciiTheme="minorEastAsia" w:eastAsiaTheme="minorEastAsia" w:hAnsiTheme="minorEastAsia" w:cs="Arial"/>
          <w:sz w:val="24"/>
        </w:rPr>
        <w:t>T</w:t>
      </w:r>
      <w:r>
        <w:rPr>
          <w:rFonts w:asciiTheme="minorEastAsia" w:eastAsiaTheme="minorEastAsia" w:hAnsiTheme="minorEastAsia" w:cs="Arial"/>
          <w:sz w:val="24"/>
        </w:rPr>
        <w:t>日</w:t>
      </w:r>
      <w:r>
        <w:rPr>
          <w:rFonts w:asciiTheme="minorEastAsia" w:eastAsiaTheme="minorEastAsia" w:hAnsiTheme="minorEastAsia" w:cs="Arial"/>
          <w:sz w:val="24"/>
        </w:rPr>
        <w:t>1</w:t>
      </w:r>
      <w:r>
        <w:rPr>
          <w:rFonts w:asciiTheme="minorEastAsia" w:eastAsiaTheme="minorEastAsia" w:hAnsiTheme="minorEastAsia" w:cs="Arial" w:hint="eastAsia"/>
          <w:sz w:val="24"/>
        </w:rPr>
        <w:t>5</w:t>
      </w:r>
      <w:r>
        <w:rPr>
          <w:rFonts w:asciiTheme="minorEastAsia" w:eastAsiaTheme="minorEastAsia" w:hAnsiTheme="minorEastAsia" w:cs="Arial"/>
          <w:sz w:val="24"/>
        </w:rPr>
        <w:t>:00</w:t>
      </w:r>
      <w:r>
        <w:rPr>
          <w:rFonts w:asciiTheme="minorEastAsia" w:eastAsiaTheme="minorEastAsia" w:hAnsiTheme="minorEastAsia" w:cs="Arial"/>
          <w:sz w:val="24"/>
        </w:rPr>
        <w:t>之前从基金清算账户划到基金托管账户；当存在托管账户净应付额时，基金管理人应在</w:t>
      </w:r>
      <w:r>
        <w:rPr>
          <w:rFonts w:asciiTheme="minorEastAsia" w:eastAsiaTheme="minorEastAsia" w:hAnsiTheme="minorEastAsia" w:cs="Arial"/>
          <w:sz w:val="24"/>
        </w:rPr>
        <w:t>T-1</w:t>
      </w:r>
      <w:r>
        <w:rPr>
          <w:rFonts w:asciiTheme="minorEastAsia" w:eastAsiaTheme="minorEastAsia" w:hAnsiTheme="minorEastAsia" w:cs="Arial"/>
          <w:sz w:val="24"/>
        </w:rPr>
        <w:t>日将划款指令发送给基金托管人，基金托管人按基金管理人的划款指令将托管账户净应付额在</w:t>
      </w:r>
      <w:r>
        <w:rPr>
          <w:rFonts w:asciiTheme="minorEastAsia" w:eastAsiaTheme="minorEastAsia" w:hAnsiTheme="minorEastAsia" w:cs="Arial"/>
          <w:sz w:val="24"/>
        </w:rPr>
        <w:t>T</w:t>
      </w:r>
      <w:r>
        <w:rPr>
          <w:rFonts w:asciiTheme="minorEastAsia" w:eastAsiaTheme="minorEastAsia" w:hAnsiTheme="minorEastAsia" w:cs="Arial"/>
          <w:sz w:val="24"/>
        </w:rPr>
        <w:t>日</w:t>
      </w:r>
      <w:r>
        <w:rPr>
          <w:rFonts w:asciiTheme="minorEastAsia" w:eastAsiaTheme="minorEastAsia" w:hAnsiTheme="minorEastAsia" w:cs="Arial"/>
          <w:sz w:val="24"/>
        </w:rPr>
        <w:t>12:00</w:t>
      </w:r>
      <w:r>
        <w:rPr>
          <w:rFonts w:asciiTheme="minorEastAsia" w:eastAsiaTheme="minorEastAsia" w:hAnsiTheme="minorEastAsia" w:cs="Arial"/>
          <w:sz w:val="24"/>
        </w:rPr>
        <w:t>之前划往基金清算账户。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（五）基金转换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在本基金与基金管理人管理的其它基金开展转换业务之前，基金管理人应函告基金托管人并就相关事宜进行协商。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基金托管人将根据基金管理人传送的基金转换数据进行账务处理，具体资金清算和数据传递的时间、程序及托管协议当事人承担的权责按基金管理人届时的公告执行。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本基金开展基金转换业务应按相关法律法规规定及《基金合同》的约定进行公告。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（六）基金现金分红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基金管理人确定分红方案通知基金托管人，双方核定后依照《信息披露办法》的有关规定在中国证监会指定</w:t>
      </w:r>
      <w:r>
        <w:rPr>
          <w:rFonts w:asciiTheme="minorEastAsia" w:eastAsiaTheme="minorEastAsia" w:hAnsiTheme="minorEastAsia" w:cs="Arial"/>
          <w:sz w:val="24"/>
        </w:rPr>
        <w:t>媒介</w:t>
      </w:r>
      <w:r>
        <w:rPr>
          <w:rFonts w:asciiTheme="minorEastAsia" w:eastAsiaTheme="minorEastAsia" w:hAnsiTheme="minorEastAsia" w:cs="Arial" w:hint="eastAsia"/>
          <w:sz w:val="24"/>
        </w:rPr>
        <w:t>上公告并报中国证监会备案。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基金托管人和基金管理人对基金分红进行账务处理并核对后，基金管理人向基金托管人发送现金红利的划款指令，基金托管人应及时将资金划入专用</w:t>
      </w:r>
      <w:r>
        <w:rPr>
          <w:rFonts w:asciiTheme="minorEastAsia" w:eastAsiaTheme="minorEastAsia" w:hAnsiTheme="minorEastAsia" w:cs="Arial" w:hint="eastAsia"/>
          <w:sz w:val="24"/>
        </w:rPr>
        <w:t>账户。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基金管理人在下达指令时，应给基金托管人留出必需的划款时间。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（七）投资银行存款的特别约定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本基金投资银行存款前，基金管理人应与存款银行签订具体存款协议，包括但不限于以下内容：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）存款账户必须以本基金名义开立</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并将基金托管人为本基金开立的基金银行账户指定为唯一回款账户，任何情况下，存款银行都不得将存款投资本息划往任何其他账户。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）存款银行不得接受基金管理人或基金托管人任何一方单方面提出的对存款进行更名、转让、挂失、质押、担保、撤销、变更印鉴及回款账户信息等可能导致财产转移的操作申请。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）约定存款证实书的具体传递交接方式及交接期限。</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4</w:t>
      </w:r>
      <w:r>
        <w:rPr>
          <w:rFonts w:asciiTheme="minorEastAsia" w:eastAsiaTheme="minorEastAsia" w:hAnsiTheme="minorEastAsia" w:cs="Arial" w:hint="eastAsia"/>
          <w:sz w:val="24"/>
        </w:rPr>
        <w:t>）资金划转过程中需要使用存款银行过渡账户的，存款银行须保证资金在过渡账户中不出现滞留，不被挪用。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本基金投资银行存款，必须采用双方认可的方式办理。基金托管人负责依据管理人提供的银行存款投资合同</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 xml:space="preserve">3. </w:t>
      </w:r>
      <w:r>
        <w:rPr>
          <w:rFonts w:asciiTheme="minorEastAsia" w:eastAsiaTheme="minorEastAsia" w:hAnsiTheme="minorEastAsia" w:cs="Arial" w:hint="eastAsia"/>
          <w:sz w:val="24"/>
        </w:rPr>
        <w:t>基金管理人投资银行存款或办理</w:t>
      </w:r>
      <w:r>
        <w:rPr>
          <w:rFonts w:asciiTheme="minorEastAsia" w:eastAsiaTheme="minorEastAsia" w:hAnsiTheme="minorEastAsia" w:cs="Arial" w:hint="eastAsia"/>
          <w:sz w:val="24"/>
        </w:rPr>
        <w:t>存款支取时，应提前书面通知基金托管人，以便基金托管人有足够的时间履行相应的业务操作程序。因发生逾期支取、提前支取或部分提前支取，托管银行不承担相应利息损失及逾期支取手续费。</w:t>
      </w:r>
    </w:p>
    <w:p w:rsidR="006109AE" w:rsidRDefault="00754B7E">
      <w:pPr>
        <w:pStyle w:val="2"/>
        <w:spacing w:line="360" w:lineRule="auto"/>
        <w:jc w:val="center"/>
        <w:rPr>
          <w:rFonts w:asciiTheme="minorEastAsia" w:eastAsiaTheme="minorEastAsia" w:hAnsiTheme="minorEastAsia"/>
          <w:sz w:val="30"/>
        </w:rPr>
      </w:pPr>
      <w:bookmarkStart w:id="85" w:name="_Toc124325892"/>
      <w:r>
        <w:rPr>
          <w:rFonts w:asciiTheme="minorEastAsia" w:eastAsiaTheme="minorEastAsia" w:hAnsiTheme="minorEastAsia" w:hint="eastAsia"/>
          <w:sz w:val="30"/>
        </w:rPr>
        <w:t xml:space="preserve"> </w:t>
      </w:r>
      <w:r>
        <w:rPr>
          <w:rFonts w:asciiTheme="minorEastAsia" w:eastAsiaTheme="minorEastAsia" w:hAnsiTheme="minorEastAsia" w:hint="eastAsia"/>
          <w:sz w:val="30"/>
        </w:rPr>
        <w:t>八、基金资产净值计算和会计核算</w:t>
      </w:r>
      <w:bookmarkEnd w:id="85"/>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（一）基金资产净值的计算、复核与完成的时间及程序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基金资产净值是指基金资产总值减去基金负债后的金额。各类基金份额净值是按照每个交易日闭市后，该类基金资产净值除以当日该类基金份额的余额数量计算，精确到</w:t>
      </w:r>
      <w:r>
        <w:rPr>
          <w:rFonts w:asciiTheme="minorEastAsia" w:eastAsiaTheme="minorEastAsia" w:hAnsiTheme="minorEastAsia" w:cs="Arial" w:hint="eastAsia"/>
          <w:sz w:val="24"/>
        </w:rPr>
        <w:t>0.</w:t>
      </w:r>
      <w:r>
        <w:rPr>
          <w:rFonts w:asciiTheme="minorEastAsia" w:eastAsiaTheme="minorEastAsia" w:hAnsiTheme="minorEastAsia" w:cs="Arial"/>
          <w:sz w:val="24"/>
        </w:rPr>
        <w:t>0</w:t>
      </w:r>
      <w:r>
        <w:rPr>
          <w:rFonts w:asciiTheme="minorEastAsia" w:eastAsiaTheme="minorEastAsia" w:hAnsiTheme="minorEastAsia" w:cs="Arial" w:hint="eastAsia"/>
          <w:sz w:val="24"/>
        </w:rPr>
        <w:t>001</w:t>
      </w:r>
      <w:r>
        <w:rPr>
          <w:rFonts w:asciiTheme="minorEastAsia" w:eastAsiaTheme="minorEastAsia" w:hAnsiTheme="minorEastAsia" w:cs="Arial" w:hint="eastAsia"/>
          <w:sz w:val="24"/>
        </w:rPr>
        <w:t>元，小数点后第五位四舍五入。国家另有规定的，从其规定。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基金管理人每个交易日计算基金资产净</w:t>
      </w:r>
      <w:r>
        <w:rPr>
          <w:rFonts w:asciiTheme="minorEastAsia" w:eastAsiaTheme="minorEastAsia" w:hAnsiTheme="minorEastAsia" w:cs="Arial" w:hint="eastAsia"/>
          <w:sz w:val="24"/>
        </w:rPr>
        <w:t>值及各类基金份额净值，并按规定公告。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（二）基金资产估值方法和特殊情形的处理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1.</w:t>
      </w:r>
      <w:r>
        <w:rPr>
          <w:rFonts w:asciiTheme="minorEastAsia" w:eastAsiaTheme="minorEastAsia" w:hAnsiTheme="minorEastAsia" w:cs="Arial" w:hint="eastAsia"/>
          <w:sz w:val="24"/>
        </w:rPr>
        <w:t>估值对象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基金所拥有的股票、债券和银行存款本息、应收款项、其它投资等资产及负债。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估值方法</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本基金所持有的投资品种，按如下原则进行估值</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）证券交易所上市的有价证券的估值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②</w:t>
      </w:r>
      <w:r>
        <w:rPr>
          <w:rFonts w:asciiTheme="minorEastAsia" w:eastAsiaTheme="minorEastAsia" w:hAnsiTheme="minorEastAsia" w:cs="Arial"/>
          <w:sz w:val="24"/>
        </w:rPr>
        <w:t>交易所市场上市交易或挂牌转让的固定收益品种（</w:t>
      </w:r>
      <w:r>
        <w:rPr>
          <w:rFonts w:asciiTheme="minorEastAsia" w:eastAsiaTheme="minorEastAsia" w:hAnsiTheme="minorEastAsia" w:cs="Arial" w:hint="eastAsia"/>
          <w:sz w:val="24"/>
        </w:rPr>
        <w:t>基金合同</w:t>
      </w:r>
      <w:r>
        <w:rPr>
          <w:rFonts w:asciiTheme="minorEastAsia" w:eastAsiaTheme="minorEastAsia" w:hAnsiTheme="minorEastAsia" w:cs="Arial"/>
          <w:sz w:val="24"/>
        </w:rPr>
        <w:t>另有</w:t>
      </w:r>
      <w:r>
        <w:rPr>
          <w:rFonts w:asciiTheme="minorEastAsia" w:eastAsiaTheme="minorEastAsia" w:hAnsiTheme="minorEastAsia" w:cs="Arial" w:hint="eastAsia"/>
          <w:sz w:val="24"/>
        </w:rPr>
        <w:t>约</w:t>
      </w:r>
      <w:r>
        <w:rPr>
          <w:rFonts w:asciiTheme="minorEastAsia" w:eastAsiaTheme="minorEastAsia" w:hAnsiTheme="minorEastAsia" w:cs="Arial"/>
          <w:sz w:val="24"/>
        </w:rPr>
        <w:t>定的除外），</w:t>
      </w:r>
      <w:r>
        <w:rPr>
          <w:rFonts w:asciiTheme="minorEastAsia" w:eastAsiaTheme="minorEastAsia" w:hAnsiTheme="minorEastAsia" w:cs="Arial" w:hint="eastAsia"/>
          <w:sz w:val="24"/>
        </w:rPr>
        <w:t>选取第三方估值机构提供的相应品种当日的估值净价估值。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③</w:t>
      </w:r>
      <w:r>
        <w:rPr>
          <w:rFonts w:asciiTheme="minorEastAsia" w:eastAsiaTheme="minorEastAsia" w:hAnsiTheme="minorEastAsia" w:cs="Arial"/>
          <w:sz w:val="24"/>
        </w:rPr>
        <w:t>对在交易所市场上市交易</w:t>
      </w:r>
      <w:r>
        <w:rPr>
          <w:rFonts w:asciiTheme="minorEastAsia" w:eastAsiaTheme="minorEastAsia" w:hAnsiTheme="minorEastAsia" w:cs="Arial"/>
          <w:sz w:val="24"/>
        </w:rPr>
        <w:t>的可转换债券</w:t>
      </w:r>
      <w:r>
        <w:rPr>
          <w:rFonts w:asciiTheme="minorEastAsia" w:eastAsiaTheme="minorEastAsia" w:hAnsiTheme="minorEastAsia" w:cs="Arial" w:hint="eastAsia"/>
          <w:sz w:val="24"/>
        </w:rPr>
        <w:t>和可交换债券</w:t>
      </w:r>
      <w:r>
        <w:rPr>
          <w:rFonts w:asciiTheme="minorEastAsia" w:eastAsiaTheme="minorEastAsia" w:hAnsiTheme="minorEastAsia" w:cs="Arial"/>
          <w:sz w:val="24"/>
        </w:rPr>
        <w:t>，选取每日收盘价作为估值全价，按估值日收盘价减去可转换债券收盘价中所含债券应收利息后得到的净价进行估值</w:t>
      </w:r>
      <w:r>
        <w:rPr>
          <w:rFonts w:asciiTheme="minorEastAsia" w:eastAsiaTheme="minorEastAsia" w:hAnsiTheme="minorEastAsia" w:cs="Arial" w:hint="eastAsia"/>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④交易所上市不存在活跃市场的有价证券，采用估值技术确定公允价值。交易所上市的资产支持证券，采用估值技术确定公允价值，在估值技术难以可靠</w:t>
      </w:r>
      <w:r>
        <w:rPr>
          <w:rFonts w:asciiTheme="minorEastAsia" w:eastAsiaTheme="minorEastAsia" w:hAnsiTheme="minorEastAsia" w:cs="Arial" w:hint="eastAsia"/>
          <w:sz w:val="24"/>
        </w:rPr>
        <w:t>计量公允价值的情况下，按成本估值。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）处于未上市期间的有价证券应区分如下情况处理：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①送股、转增股、配股和公开增发的新股，按估值日在证券交易所挂牌的同一股票的估值方法估值；该日无交易的，以最近一日的市价（收盘价）估值。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②首次公开发行未上市的股票、债券，采用估值技术确定公允价值，在估值技术难以可靠计量公允价值的情况下，按成本估值。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④</w:t>
      </w:r>
      <w:r>
        <w:rPr>
          <w:rFonts w:asciiTheme="minorEastAsia" w:eastAsiaTheme="minorEastAsia" w:hAnsiTheme="minorEastAsia" w:cs="Arial"/>
          <w:sz w:val="24"/>
        </w:rPr>
        <w:t>对</w:t>
      </w:r>
      <w:r>
        <w:rPr>
          <w:rFonts w:asciiTheme="minorEastAsia" w:eastAsiaTheme="minorEastAsia" w:hAnsiTheme="minorEastAsia" w:cs="Arial"/>
          <w:sz w:val="24"/>
        </w:rPr>
        <w:t>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）银行间市场交易的固定收益品种的估值</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①对银行间市场上不含权的固定收益品种，选取第三方估值机构提供的相应品种当日的估值净价进行估值。</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②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③银行间市场未上市，且第三方估值机构未提供估值价格的债券，在发行利率与二级市场利率不存在明显差异、未上市期间市场利率没有发生大的变动的情况下，按成本估值。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4</w:t>
      </w:r>
      <w:r>
        <w:rPr>
          <w:rFonts w:asciiTheme="minorEastAsia" w:eastAsiaTheme="minorEastAsia" w:hAnsiTheme="minorEastAsia" w:cs="Arial"/>
          <w:sz w:val="24"/>
        </w:rPr>
        <w:t>）同一证券同时在两个或两个以上市场交易的，按证券所处的市场分别估值。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5</w:t>
      </w:r>
      <w:r>
        <w:rPr>
          <w:rFonts w:asciiTheme="minorEastAsia" w:eastAsiaTheme="minorEastAsia" w:hAnsiTheme="minorEastAsia" w:cs="Arial"/>
          <w:sz w:val="24"/>
        </w:rPr>
        <w:t>）中小企业私募债券，采用估值技术确定公允价值</w:t>
      </w:r>
      <w:r>
        <w:rPr>
          <w:rFonts w:asciiTheme="minorEastAsia" w:eastAsiaTheme="minorEastAsia" w:hAnsiTheme="minorEastAsia" w:cs="Arial" w:hint="eastAsia"/>
          <w:sz w:val="24"/>
        </w:rPr>
        <w:t>。</w:t>
      </w:r>
      <w:r>
        <w:rPr>
          <w:rFonts w:asciiTheme="minorEastAsia" w:eastAsiaTheme="minorEastAsia" w:hAnsiTheme="minorEastAsia" w:cs="Arial"/>
          <w:sz w:val="24"/>
        </w:rPr>
        <w:t>在估值技术难</w:t>
      </w:r>
      <w:r>
        <w:rPr>
          <w:rFonts w:asciiTheme="minorEastAsia" w:eastAsiaTheme="minorEastAsia" w:hAnsiTheme="minorEastAsia" w:cs="Arial"/>
          <w:sz w:val="24"/>
        </w:rPr>
        <w:t>以可靠计量公允价值的情况下，按成本估值。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）当本基金发生大额申购或赎回情形时，基金管理人可以采用摆动定价机制，以确保基金估值的公平性。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）如有确凿证据表明按上述方法进行估值不能客观反映其公允价值的，基金管理人可根据具体情况与基金托管人商定后，按最能反映公允价值的价格估值。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8</w:t>
      </w:r>
      <w:r>
        <w:rPr>
          <w:rFonts w:asciiTheme="minorEastAsia" w:eastAsiaTheme="minorEastAsia" w:hAnsiTheme="minorEastAsia" w:cs="Arial" w:hint="eastAsia"/>
          <w:sz w:val="24"/>
        </w:rPr>
        <w:t>）相关法律法规以及监管机构有强制规定的，从其规定。如有新增事项，按国家最新规定估值。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w:t>
      </w:r>
      <w:r>
        <w:rPr>
          <w:rFonts w:asciiTheme="minorEastAsia" w:eastAsiaTheme="minorEastAsia" w:hAnsiTheme="minorEastAsia" w:cs="Arial" w:hint="eastAsia"/>
          <w:sz w:val="24"/>
        </w:rPr>
        <w:t>，共同查明原因，双方协商解决。</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按照基金管理人对基金资产净值的计算</w:t>
      </w:r>
      <w:r>
        <w:rPr>
          <w:rFonts w:asciiTheme="minorEastAsia" w:eastAsiaTheme="minorEastAsia" w:hAnsiTheme="minorEastAsia" w:cs="Arial" w:hint="eastAsia"/>
          <w:sz w:val="24"/>
        </w:rPr>
        <w:lastRenderedPageBreak/>
        <w:t>结果对外予以公布。</w:t>
      </w:r>
    </w:p>
    <w:p w:rsidR="006109AE" w:rsidRDefault="00754B7E">
      <w:pPr>
        <w:adjustRightInd w:val="0"/>
        <w:snapToGrid w:val="0"/>
        <w:spacing w:line="360" w:lineRule="auto"/>
        <w:ind w:firstLineChars="200" w:firstLine="480"/>
        <w:rPr>
          <w:sz w:val="24"/>
        </w:rPr>
      </w:pPr>
      <w:r>
        <w:rPr>
          <w:sz w:val="24"/>
        </w:rPr>
        <w:t>3.</w:t>
      </w:r>
      <w:r>
        <w:rPr>
          <w:rFonts w:hint="eastAsia"/>
          <w:sz w:val="24"/>
        </w:rPr>
        <w:t>特殊情形的处理</w:t>
      </w:r>
    </w:p>
    <w:p w:rsidR="006109AE" w:rsidRDefault="00754B7E">
      <w:pPr>
        <w:adjustRightInd w:val="0"/>
        <w:snapToGrid w:val="0"/>
        <w:spacing w:line="360" w:lineRule="auto"/>
        <w:ind w:firstLineChars="200" w:firstLine="480"/>
        <w:rPr>
          <w:rFonts w:cs="Arial"/>
          <w:sz w:val="24"/>
        </w:rPr>
      </w:pPr>
      <w:r>
        <w:rPr>
          <w:rFonts w:hint="eastAsia"/>
          <w:sz w:val="24"/>
        </w:rPr>
        <w:t>基金管理人、基金托管人按估值方法的第</w:t>
      </w:r>
      <w:r>
        <w:rPr>
          <w:sz w:val="24"/>
        </w:rPr>
        <w:t>(</w:t>
      </w:r>
      <w:r>
        <w:rPr>
          <w:rFonts w:hint="eastAsia"/>
          <w:sz w:val="24"/>
        </w:rPr>
        <w:t>7</w:t>
      </w:r>
      <w:r>
        <w:rPr>
          <w:sz w:val="24"/>
        </w:rPr>
        <w:t>)</w:t>
      </w:r>
      <w:r>
        <w:rPr>
          <w:rFonts w:hint="eastAsia"/>
          <w:sz w:val="24"/>
        </w:rPr>
        <w:t>项进行估值时，所造成的误差不作为基金资产估值</w:t>
      </w:r>
      <w:r>
        <w:rPr>
          <w:rFonts w:cs="Arial" w:hint="eastAsia"/>
          <w:sz w:val="24"/>
        </w:rPr>
        <w:t>错误处理。</w:t>
      </w:r>
    </w:p>
    <w:p w:rsidR="006109AE" w:rsidRDefault="00754B7E">
      <w:pPr>
        <w:adjustRightInd w:val="0"/>
        <w:snapToGrid w:val="0"/>
        <w:spacing w:line="360" w:lineRule="auto"/>
        <w:ind w:firstLineChars="200" w:firstLine="480"/>
        <w:rPr>
          <w:rFonts w:cs="Arial"/>
        </w:rPr>
      </w:pPr>
      <w:r>
        <w:rPr>
          <w:rFonts w:asciiTheme="minorEastAsia" w:eastAsiaTheme="minorEastAsia" w:hAnsiTheme="minorEastAsia" w:cs="Arial" w:hint="eastAsia"/>
          <w:sz w:val="24"/>
        </w:rPr>
        <w:t>由于不可抗力，或由于证券交易所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109AE" w:rsidRDefault="00754B7E">
      <w:pPr>
        <w:adjustRightInd w:val="0"/>
        <w:snapToGrid w:val="0"/>
        <w:spacing w:line="360" w:lineRule="auto"/>
        <w:ind w:firstLineChars="200" w:firstLine="480"/>
        <w:rPr>
          <w:rFonts w:cs="Arial"/>
          <w:sz w:val="24"/>
        </w:rPr>
      </w:pPr>
      <w:r>
        <w:rPr>
          <w:rFonts w:cs="Arial" w:hint="eastAsia"/>
          <w:sz w:val="24"/>
        </w:rPr>
        <w:t>（三）基金份额净值错误的处理方式</w:t>
      </w:r>
    </w:p>
    <w:p w:rsidR="006109AE" w:rsidRDefault="00754B7E">
      <w:pPr>
        <w:adjustRightInd w:val="0"/>
        <w:snapToGrid w:val="0"/>
        <w:spacing w:line="360" w:lineRule="auto"/>
        <w:ind w:firstLineChars="200" w:firstLine="480"/>
        <w:rPr>
          <w:rFonts w:cs="Arial"/>
          <w:sz w:val="24"/>
        </w:rPr>
      </w:pPr>
      <w:r>
        <w:rPr>
          <w:rFonts w:cs="Arial"/>
          <w:sz w:val="24"/>
        </w:rPr>
        <w:t>1.</w:t>
      </w:r>
      <w:r>
        <w:rPr>
          <w:rFonts w:cs="Arial" w:hint="eastAsia"/>
          <w:sz w:val="24"/>
        </w:rPr>
        <w:t>当基金份额净值小数点后</w:t>
      </w:r>
      <w:r>
        <w:rPr>
          <w:rFonts w:cs="Arial"/>
          <w:sz w:val="24"/>
        </w:rPr>
        <w:t>4</w:t>
      </w:r>
      <w:r>
        <w:rPr>
          <w:rFonts w:cs="Arial" w:hint="eastAsia"/>
          <w:sz w:val="24"/>
        </w:rPr>
        <w:t>位以内</w:t>
      </w:r>
      <w:r>
        <w:rPr>
          <w:rFonts w:cs="Arial"/>
          <w:sz w:val="24"/>
        </w:rPr>
        <w:t>(</w:t>
      </w:r>
      <w:r>
        <w:rPr>
          <w:rFonts w:cs="Arial" w:hint="eastAsia"/>
          <w:sz w:val="24"/>
        </w:rPr>
        <w:t>含第</w:t>
      </w:r>
      <w:r>
        <w:rPr>
          <w:rFonts w:cs="Arial"/>
          <w:sz w:val="24"/>
        </w:rPr>
        <w:t>4</w:t>
      </w:r>
      <w:r>
        <w:rPr>
          <w:rFonts w:cs="Arial" w:hint="eastAsia"/>
          <w:sz w:val="24"/>
        </w:rPr>
        <w:t>位</w:t>
      </w:r>
      <w:r>
        <w:rPr>
          <w:rFonts w:cs="Arial"/>
          <w:sz w:val="24"/>
        </w:rPr>
        <w:t>)</w:t>
      </w:r>
      <w:r>
        <w:rPr>
          <w:rFonts w:cs="Arial" w:hint="eastAsia"/>
          <w:sz w:val="24"/>
        </w:rPr>
        <w:t>发生差错时，视为基金份额净值错误；基金份额净值出现错误时，基金管理人应当立即予以纠正，通报基金托管人，并采取合理的措施防止损失进一步扩大；错误</w:t>
      </w:r>
      <w:r>
        <w:rPr>
          <w:rFonts w:cs="Arial" w:hint="eastAsia"/>
          <w:sz w:val="24"/>
        </w:rPr>
        <w:t>偏差达到基金份额净值的</w:t>
      </w:r>
      <w:r>
        <w:rPr>
          <w:rFonts w:cs="Arial"/>
          <w:sz w:val="24"/>
        </w:rPr>
        <w:t>0.25%</w:t>
      </w:r>
      <w:r>
        <w:rPr>
          <w:rFonts w:cs="Arial" w:hint="eastAsia"/>
          <w:sz w:val="24"/>
        </w:rPr>
        <w:t>时，基金管理人应当通报基金托管人并报中国证监会备案</w:t>
      </w:r>
      <w:r>
        <w:rPr>
          <w:rFonts w:asciiTheme="minorEastAsia" w:eastAsiaTheme="minorEastAsia" w:hAnsiTheme="minorEastAsia" w:cs="Arial" w:hint="eastAsia"/>
          <w:sz w:val="24"/>
        </w:rPr>
        <w:t>；错误偏差达到基金份额净值的</w:t>
      </w:r>
      <w:r>
        <w:rPr>
          <w:rFonts w:asciiTheme="minorEastAsia" w:eastAsiaTheme="minorEastAsia" w:hAnsiTheme="minorEastAsia" w:cs="Arial"/>
          <w:sz w:val="24"/>
        </w:rPr>
        <w:t>0.5%</w:t>
      </w:r>
      <w:r>
        <w:rPr>
          <w:rFonts w:asciiTheme="minorEastAsia" w:eastAsiaTheme="minorEastAsia" w:hAnsiTheme="minorEastAsia" w:cs="Arial"/>
          <w:sz w:val="24"/>
        </w:rPr>
        <w:t>时，基金管理人应当公告</w:t>
      </w:r>
      <w:r>
        <w:rPr>
          <w:rFonts w:cs="Arial" w:hint="eastAsia"/>
          <w:sz w:val="24"/>
        </w:rPr>
        <w:t>；当发生净值计算错误时，由基金管理人负责处理，由此给基金份额持有人和基金造成损失的，应由基金管理人先行赔付，基金管理人按差错情形，有权向其他当事人追偿。</w:t>
      </w:r>
    </w:p>
    <w:p w:rsidR="006109AE" w:rsidRDefault="00754B7E">
      <w:pPr>
        <w:adjustRightInd w:val="0"/>
        <w:snapToGrid w:val="0"/>
        <w:spacing w:line="360" w:lineRule="auto"/>
        <w:ind w:firstLineChars="200" w:firstLine="480"/>
        <w:rPr>
          <w:rFonts w:cs="Arial"/>
          <w:sz w:val="24"/>
        </w:rPr>
      </w:pPr>
      <w:r>
        <w:rPr>
          <w:rFonts w:cs="Arial"/>
          <w:sz w:val="24"/>
        </w:rPr>
        <w:t>2.</w:t>
      </w:r>
      <w:r>
        <w:rPr>
          <w:rFonts w:cs="Arial" w:hint="eastAsia"/>
          <w:sz w:val="24"/>
        </w:rPr>
        <w:t>当基金份额净值计算差错给基金和基金份额持有人造成损失需要进行赔偿时，基金管理人和基金托管人应根据实际情况界定双方承担的责任，经确认后按以下条款进行赔偿：</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cs="Arial"/>
          <w:sz w:val="24"/>
        </w:rPr>
        <w:t>(1)</w:t>
      </w:r>
      <w:r>
        <w:rPr>
          <w:rFonts w:cs="Arial" w:hint="eastAsia"/>
          <w:sz w:val="24"/>
        </w:rPr>
        <w:t>本基金的基金会计责任方由基金管理人担任，与本基金有关的</w:t>
      </w:r>
      <w:r>
        <w:rPr>
          <w:rFonts w:cs="Arial" w:hint="eastAsia"/>
          <w:sz w:val="24"/>
        </w:rPr>
        <w:t>会计问题，如经双方在平等基础上充分讨论后，尚不能达成一致时，按基金管理人的建议执行，由此给基金份额持有人和基金财产造成的</w:t>
      </w:r>
      <w:r>
        <w:rPr>
          <w:rFonts w:asciiTheme="minorEastAsia" w:eastAsiaTheme="minorEastAsia" w:hAnsiTheme="minorEastAsia" w:cs="Arial" w:hint="eastAsia"/>
          <w:sz w:val="24"/>
        </w:rPr>
        <w:t>损失，由基金管理人负责赔付。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如基金管理人和基金托管人对基金份额净</w:t>
      </w:r>
      <w:r>
        <w:rPr>
          <w:rFonts w:asciiTheme="minorEastAsia" w:eastAsiaTheme="minorEastAsia" w:hAnsiTheme="minorEastAsia" w:cs="Arial" w:hint="eastAsia"/>
          <w:sz w:val="24"/>
        </w:rPr>
        <w:t>值的计算结果，虽然多次重新计算和核对，尚不能达成一致时，为避免不能按时公布基金份额净值的情形，以基金管</w:t>
      </w:r>
      <w:r>
        <w:rPr>
          <w:rFonts w:asciiTheme="minorEastAsia" w:eastAsiaTheme="minorEastAsia" w:hAnsiTheme="minorEastAsia" w:cs="Arial" w:hint="eastAsia"/>
          <w:sz w:val="24"/>
        </w:rPr>
        <w:lastRenderedPageBreak/>
        <w:t>理人的计算结果对外公布，由此给基金份额持有人和基金造成的损失，由基金管理人负责赔付。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由于基金管理人提供的信息错误（包括但不限于基金申购或赎回金额等），进而导致基金份额净值计算错误而引起的基金份额持有人和基金财产的损失，由基金管理人负责赔付。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基金管理人和基金托管人由于各自技术系统设置而产生的净值计算尾差，以基金管理人计算结果为准。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前述内容如法律法规或者监管部门另有规定的，从其规定。如果行业</w:t>
      </w:r>
      <w:r>
        <w:rPr>
          <w:rFonts w:asciiTheme="minorEastAsia" w:eastAsiaTheme="minorEastAsia" w:hAnsiTheme="minorEastAsia" w:cs="Arial" w:hint="eastAsia"/>
          <w:sz w:val="24"/>
        </w:rPr>
        <w:t>另有通行做法，双方当事人应本着平等和保护基金份额持有人利益的原则进行协商。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（四）暂停估值的情形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基金投资所涉及的证券交易市场遇法定节假日或因其他原因暂停营业时；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因不可抗力致使基金管理人、基金托管人无法准确评估基金资产价值时；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、当前一估值日基金资产净值</w:t>
      </w:r>
      <w:r>
        <w:rPr>
          <w:rFonts w:asciiTheme="minorEastAsia" w:eastAsiaTheme="minorEastAsia" w:hAnsiTheme="minorEastAsia" w:cs="Arial" w:hint="eastAsia"/>
          <w:sz w:val="24"/>
        </w:rPr>
        <w:t>50%</w:t>
      </w:r>
      <w:r>
        <w:rPr>
          <w:rFonts w:asciiTheme="minorEastAsia" w:eastAsiaTheme="minorEastAsia" w:hAnsiTheme="minorEastAsia" w:cs="Arial" w:hint="eastAsia"/>
          <w:sz w:val="24"/>
        </w:rPr>
        <w:t>以上的资产出现无可参考的活跃市场价格且采用估值技术仍导致公允价值存在重大不确定性时，经与基金托管人协商确认后；</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中国证监会和《基金合同》认定的其他情形。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（五）基金会计制度</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按国家有关部门规定的会计制度执行。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（六）基金账册的建立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（七）基金财务报表与报告的编制和复核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财务报表的编制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基金财务报表由基金管理人编制，基金托管人复核。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报表复核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w:t>
      </w:r>
      <w:r>
        <w:rPr>
          <w:rFonts w:asciiTheme="minorEastAsia" w:eastAsiaTheme="minorEastAsia" w:hAnsiTheme="minorEastAsia" w:cs="Arial" w:hint="eastAsia"/>
          <w:sz w:val="24"/>
        </w:rPr>
        <w:t>行调整，直至双方数据完全一致。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财务报表的编制与复核时间安排</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报表的编制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基金管理人应当在每月结束后</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个工作日内完成月度报表的编制；在每个季度结束之日起</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个工作日内完成基金季度报告的编制；在上半年结束之日起</w:t>
      </w:r>
      <w:r>
        <w:rPr>
          <w:rFonts w:asciiTheme="minorEastAsia" w:eastAsiaTheme="minorEastAsia" w:hAnsiTheme="minorEastAsia" w:cs="Arial" w:hint="eastAsia"/>
          <w:sz w:val="24"/>
        </w:rPr>
        <w:t>60</w:t>
      </w:r>
      <w:r>
        <w:rPr>
          <w:rFonts w:asciiTheme="minorEastAsia" w:eastAsiaTheme="minorEastAsia" w:hAnsiTheme="minorEastAsia" w:cs="Arial" w:hint="eastAsia"/>
          <w:sz w:val="24"/>
        </w:rPr>
        <w:t>日内完成基金半年度报告的编制；在每年结束之日起</w:t>
      </w:r>
      <w:r>
        <w:rPr>
          <w:rFonts w:asciiTheme="minorEastAsia" w:eastAsiaTheme="minorEastAsia" w:hAnsiTheme="minorEastAsia" w:cs="Arial" w:hint="eastAsia"/>
          <w:sz w:val="24"/>
        </w:rPr>
        <w:t>90</w:t>
      </w:r>
      <w:r>
        <w:rPr>
          <w:rFonts w:asciiTheme="minorEastAsia" w:eastAsiaTheme="minorEastAsia" w:hAnsiTheme="minorEastAsia" w:cs="Arial" w:hint="eastAsia"/>
          <w:sz w:val="24"/>
        </w:rPr>
        <w:t>日内完成基金年度报告的编制。基金年度报告的财务会计报告应当经过审计。《基金合同》生效不足两个月的，基金管理人可以不编制当期季度报告、半年度报告或者年度报告。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报表的复核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基金管理人应留足充分的时间，便于基金托管人复核相关报表及报告。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86" w:name="_Toc124325893"/>
      <w:r>
        <w:rPr>
          <w:rFonts w:asciiTheme="minorEastAsia" w:eastAsiaTheme="minorEastAsia" w:hAnsiTheme="minorEastAsia" w:hint="eastAsia"/>
          <w:sz w:val="30"/>
        </w:rPr>
        <w:t>九、基金收益分配</w:t>
      </w:r>
      <w:bookmarkEnd w:id="86"/>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基金收益分配是指按规定将基金的可分配收益按基金份额进行比例分配。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（一）基金收益分配的原则</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基金收益分配应遵循下列原则：</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由于本基金</w:t>
      </w:r>
      <w:r>
        <w:rPr>
          <w:rFonts w:asciiTheme="minorEastAsia" w:eastAsiaTheme="minorEastAsia" w:hAnsiTheme="minorEastAsia" w:cs="Arial"/>
          <w:sz w:val="24"/>
        </w:rPr>
        <w:t>A</w:t>
      </w:r>
      <w:r>
        <w:rPr>
          <w:rFonts w:asciiTheme="minorEastAsia" w:eastAsiaTheme="minorEastAsia" w:hAnsiTheme="minorEastAsia" w:cs="Arial" w:hint="eastAsia"/>
          <w:sz w:val="24"/>
        </w:rPr>
        <w:t>类基金份额不收取销售服务费，而</w:t>
      </w:r>
      <w:r>
        <w:rPr>
          <w:rFonts w:asciiTheme="minorEastAsia" w:eastAsiaTheme="minorEastAsia" w:hAnsiTheme="minorEastAsia" w:cs="Arial"/>
          <w:sz w:val="24"/>
        </w:rPr>
        <w:t>C</w:t>
      </w:r>
      <w:r>
        <w:rPr>
          <w:rFonts w:asciiTheme="minorEastAsia" w:eastAsiaTheme="minorEastAsia" w:hAnsiTheme="minorEastAsia" w:cs="Arial" w:hint="eastAsia"/>
          <w:sz w:val="24"/>
        </w:rPr>
        <w:t>类基金份额收取销售服务费，各基金份额类别对应的可供分配利润将有所不同，本基金同一类别的每一基金份额享有同等分配权；</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在符合有关基金分红条件的前提下，本基金每年收益分配次数最多为</w:t>
      </w:r>
      <w:r>
        <w:rPr>
          <w:rFonts w:asciiTheme="minorEastAsia" w:eastAsiaTheme="minorEastAsia" w:hAnsiTheme="minorEastAsia" w:cs="Arial" w:hint="eastAsia"/>
          <w:sz w:val="24"/>
        </w:rPr>
        <w:t xml:space="preserve"> </w:t>
      </w:r>
      <w:r>
        <w:rPr>
          <w:rFonts w:asciiTheme="minorEastAsia" w:eastAsiaTheme="minorEastAsia" w:hAnsiTheme="minorEastAsia" w:cs="Arial"/>
          <w:sz w:val="24"/>
        </w:rPr>
        <w:t>12</w:t>
      </w:r>
      <w:r>
        <w:rPr>
          <w:rFonts w:asciiTheme="minorEastAsia" w:eastAsiaTheme="minorEastAsia" w:hAnsiTheme="minorEastAsia" w:cs="Arial" w:hint="eastAsia"/>
          <w:sz w:val="24"/>
        </w:rPr>
        <w:t>次，每次收益分配比例不得低于该次可供分配利润的</w:t>
      </w:r>
      <w:r>
        <w:rPr>
          <w:rFonts w:asciiTheme="minorEastAsia" w:eastAsiaTheme="minorEastAsia" w:hAnsiTheme="minorEastAsia" w:cs="Arial" w:hint="eastAsia"/>
          <w:sz w:val="24"/>
        </w:rPr>
        <w:t xml:space="preserve"> </w:t>
      </w:r>
      <w:r>
        <w:rPr>
          <w:rFonts w:asciiTheme="minorEastAsia" w:eastAsiaTheme="minorEastAsia" w:hAnsiTheme="minorEastAsia" w:cs="Arial"/>
          <w:sz w:val="24"/>
        </w:rPr>
        <w:t>20</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；若《基金合同》生效不满</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个月可不进行收益分配；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 xml:space="preserve">3. </w:t>
      </w:r>
      <w:r>
        <w:rPr>
          <w:rFonts w:asciiTheme="minorEastAsia" w:eastAsiaTheme="minorEastAsia" w:hAnsiTheme="minorEastAsia" w:cs="Arial" w:hint="eastAsia"/>
          <w:sz w:val="24"/>
        </w:rPr>
        <w:t>本基金收益分配方式分两种：现金分红与红利再投资，投资者可选择现金红利或将现金红利自动转为对应的基金份额进行再投资；若投资者不选择，本基金默认的收益分配方式是现金分红；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基金收益分配后两类基金份额净值不能低于面值，即基金收益分配基准日的两类基金份额净值减去该</w:t>
      </w:r>
      <w:r>
        <w:rPr>
          <w:rFonts w:asciiTheme="minorEastAsia" w:eastAsiaTheme="minorEastAsia" w:hAnsiTheme="minorEastAsia" w:cs="Arial"/>
          <w:sz w:val="24"/>
        </w:rPr>
        <w:t>类别</w:t>
      </w:r>
      <w:r>
        <w:rPr>
          <w:rFonts w:asciiTheme="minorEastAsia" w:eastAsiaTheme="minorEastAsia" w:hAnsiTheme="minorEastAsia" w:cs="Arial" w:hint="eastAsia"/>
          <w:sz w:val="24"/>
        </w:rPr>
        <w:t>每单位基金份额收益分配金额后不能低于面值；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5.</w:t>
      </w:r>
      <w:r>
        <w:rPr>
          <w:rFonts w:asciiTheme="minorEastAsia" w:eastAsiaTheme="minorEastAsia" w:hAnsiTheme="minorEastAsia" w:cs="Arial" w:hint="eastAsia"/>
          <w:sz w:val="24"/>
        </w:rPr>
        <w:t>法律法规或监管机构另有规定的，从其规定。</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（二）基金收益分配的时间和程序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本基金收益分配方案由基金管理人拟</w:t>
      </w:r>
      <w:r>
        <w:rPr>
          <w:rFonts w:asciiTheme="minorEastAsia" w:eastAsiaTheme="minorEastAsia" w:hAnsiTheme="minorEastAsia" w:cs="Arial"/>
          <w:sz w:val="24"/>
        </w:rPr>
        <w:t>定</w:t>
      </w:r>
      <w:r>
        <w:rPr>
          <w:rFonts w:asciiTheme="minorEastAsia" w:eastAsiaTheme="minorEastAsia" w:hAnsiTheme="minorEastAsia" w:cs="Arial" w:hint="eastAsia"/>
          <w:sz w:val="24"/>
        </w:rPr>
        <w:t>，并由基金托管人复核，在</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个工作日内在指定</w:t>
      </w:r>
      <w:r>
        <w:rPr>
          <w:rFonts w:asciiTheme="minorEastAsia" w:eastAsiaTheme="minorEastAsia" w:hAnsiTheme="minorEastAsia" w:cs="Arial"/>
          <w:sz w:val="24"/>
        </w:rPr>
        <w:t>媒介</w:t>
      </w:r>
      <w:r>
        <w:rPr>
          <w:rFonts w:asciiTheme="minorEastAsia" w:eastAsiaTheme="minorEastAsia" w:hAnsiTheme="minorEastAsia" w:cs="Arial" w:hint="eastAsia"/>
          <w:sz w:val="24"/>
        </w:rPr>
        <w:t>公告并报中国证监会备案。基金红利发放日距离收益分配基准日（即可供分配利润计算截止日）的时间不得超过</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个工作日。基金收益分配方案公告后</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依据具体方案的规定</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，基金管理人就支付的现金红利向基金托管人发送划款指令，基</w:t>
      </w:r>
      <w:r>
        <w:rPr>
          <w:rFonts w:asciiTheme="minorEastAsia" w:eastAsiaTheme="minorEastAsia" w:hAnsiTheme="minorEastAsia" w:cs="Arial" w:hint="eastAsia"/>
          <w:sz w:val="24"/>
        </w:rPr>
        <w:t>金托管人按照基金管理人的指令及时进行分红资金的划付。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的基金份额。红利再投资的计算方法，依照《业务规则》执行。</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87" w:name="_Toc124325894"/>
      <w:r>
        <w:rPr>
          <w:rFonts w:asciiTheme="minorEastAsia" w:eastAsiaTheme="minorEastAsia" w:hAnsiTheme="minorEastAsia" w:hint="eastAsia"/>
          <w:sz w:val="30"/>
        </w:rPr>
        <w:t>十、基金信息披露</w:t>
      </w:r>
      <w:bookmarkEnd w:id="87"/>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（一）保密义务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非因基金管理人和基金托管人的原因导致保密信息被披露、泄露或公开；</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基金管理人和基金托管人为遵守和服从法院判决或裁定、仲裁裁决或中国证监会等监管机构的命令、决定所做出的信息披露或公</w:t>
      </w:r>
      <w:r>
        <w:rPr>
          <w:rFonts w:asciiTheme="minorEastAsia" w:eastAsiaTheme="minorEastAsia" w:hAnsiTheme="minorEastAsia" w:cs="Arial" w:hint="eastAsia"/>
          <w:sz w:val="24"/>
        </w:rPr>
        <w:t>开。</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（二）信息披露的内容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w:t>
      </w:r>
      <w:r>
        <w:rPr>
          <w:rFonts w:asciiTheme="minorEastAsia" w:eastAsiaTheme="minorEastAsia" w:hAnsiTheme="minorEastAsia" w:cs="Arial" w:hint="eastAsia"/>
          <w:sz w:val="24"/>
        </w:rPr>
        <w:lastRenderedPageBreak/>
        <w:t>计后，方可披露。</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（三）基金托管人和基金管理人在信息披露中的职责和信息披露程序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职责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基金托管人和基金管理人在信息披露过</w:t>
      </w:r>
      <w:r>
        <w:rPr>
          <w:rFonts w:asciiTheme="minorEastAsia" w:eastAsiaTheme="minorEastAsia" w:hAnsiTheme="minorEastAsia" w:cs="Arial" w:hint="eastAsia"/>
          <w:sz w:val="24"/>
        </w:rPr>
        <w:t>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对于不需要基金托管人复核的信息，基金管理人在公告前应告知基金托管人。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基金管理人和基金托管人应积极配合、互相监督，保证其履行按照法定方式和限时披露的义务。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w:t>
      </w:r>
      <w:r>
        <w:rPr>
          <w:rFonts w:asciiTheme="minorEastAsia" w:eastAsiaTheme="minorEastAsia" w:hAnsiTheme="minorEastAsia" w:cs="Arial" w:hint="eastAsia"/>
          <w:sz w:val="24"/>
        </w:rPr>
        <w:t>开披露的信息，基金托管人将通过指定媒介或基金托管人的互联网网站公开披露。</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当出现下述情况时，基金管理人和基金托管人可暂停或延迟披露基金相关信息：</w:t>
      </w:r>
    </w:p>
    <w:p w:rsidR="006109AE" w:rsidRDefault="00754B7E">
      <w:pPr>
        <w:pStyle w:val="af3"/>
        <w:numPr>
          <w:ilvl w:val="0"/>
          <w:numId w:val="1"/>
        </w:numPr>
        <w:adjustRightInd w:val="0"/>
        <w:snapToGrid w:val="0"/>
        <w:spacing w:line="360" w:lineRule="auto"/>
        <w:ind w:firstLineChars="0"/>
        <w:rPr>
          <w:rFonts w:asciiTheme="minorEastAsia" w:eastAsiaTheme="minorEastAsia" w:hAnsiTheme="minorEastAsia" w:cs="Arial"/>
          <w:sz w:val="24"/>
        </w:rPr>
      </w:pPr>
      <w:r>
        <w:rPr>
          <w:rFonts w:asciiTheme="minorEastAsia" w:eastAsiaTheme="minorEastAsia" w:hAnsiTheme="minorEastAsia" w:cs="Arial" w:hint="eastAsia"/>
          <w:sz w:val="24"/>
        </w:rPr>
        <w:t>不可抗力；</w:t>
      </w:r>
    </w:p>
    <w:p w:rsidR="006109AE" w:rsidRDefault="00754B7E">
      <w:pPr>
        <w:pStyle w:val="af3"/>
        <w:numPr>
          <w:ilvl w:val="0"/>
          <w:numId w:val="1"/>
        </w:numPr>
        <w:adjustRightInd w:val="0"/>
        <w:snapToGrid w:val="0"/>
        <w:spacing w:line="360" w:lineRule="auto"/>
        <w:ind w:firstLineChars="0"/>
        <w:rPr>
          <w:rFonts w:asciiTheme="minorEastAsia" w:eastAsiaTheme="minorEastAsia" w:hAnsiTheme="minorEastAsia" w:cs="Arial"/>
          <w:sz w:val="24"/>
        </w:rPr>
      </w:pPr>
      <w:r>
        <w:rPr>
          <w:rFonts w:asciiTheme="minorEastAsia" w:eastAsiaTheme="minorEastAsia" w:hAnsiTheme="minorEastAsia" w:cs="Arial" w:hint="eastAsia"/>
          <w:sz w:val="24"/>
        </w:rPr>
        <w:t>发生暂停估值的情形</w:t>
      </w:r>
      <w:r>
        <w:rPr>
          <w:rFonts w:asciiTheme="minorEastAsia" w:eastAsiaTheme="minorEastAsia" w:hAnsiTheme="minorEastAsia" w:cs="Arial"/>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3</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法律法规、《基金合同》或中国证监会规定的情况。</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信息文本的存放</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予以披露的信息文本，存放在基金管理人</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基金托管人处，投资者可以免费查阅。在支付工本费后可在合理时间获得上述文件的复制件或复印件。基金管理人和基金托管人应保证文本的内容与所公告的内容完全一致。</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88" w:name="_Toc124325895"/>
      <w:r>
        <w:rPr>
          <w:rFonts w:asciiTheme="minorEastAsia" w:eastAsiaTheme="minorEastAsia" w:hAnsiTheme="minorEastAsia" w:hint="eastAsia"/>
          <w:sz w:val="30"/>
        </w:rPr>
        <w:t>十一、基金费用</w:t>
      </w:r>
      <w:bookmarkEnd w:id="88"/>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（一）基金管理费的计提比例和计提方法</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本基金的管理费按前一日基金资产净值的</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的年费率计提。管理费的计算方法如下：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w:t>
      </w:r>
      <w:r>
        <w:rPr>
          <w:rFonts w:asciiTheme="minorEastAsia" w:eastAsiaTheme="minorEastAsia" w:hAnsiTheme="minorEastAsia" w:cs="Arial"/>
          <w:sz w:val="24"/>
        </w:rPr>
        <w:t>1.5%</w:t>
      </w:r>
      <w:r>
        <w:rPr>
          <w:rFonts w:asciiTheme="minorEastAsia" w:eastAsiaTheme="minorEastAsia" w:hAnsiTheme="minorEastAsia" w:cs="Arial" w:hint="eastAsia"/>
          <w:sz w:val="24"/>
        </w:rPr>
        <w:t>÷当年天数</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为每日应计提的基金管理费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w:t>
      </w:r>
      <w:r>
        <w:rPr>
          <w:rFonts w:asciiTheme="minorEastAsia" w:eastAsiaTheme="minorEastAsia" w:hAnsiTheme="minorEastAsia" w:cs="Arial" w:hint="eastAsia"/>
          <w:sz w:val="24"/>
        </w:rPr>
        <w:t>为前一日的基金资产净值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（二）基金托管费的计提比例和计提方法</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本基金的托管费按前一日基金资产净值的</w:t>
      </w:r>
      <w:r>
        <w:rPr>
          <w:rFonts w:asciiTheme="minorEastAsia" w:eastAsiaTheme="minorEastAsia" w:hAnsiTheme="minorEastAsia" w:cs="Arial" w:hint="eastAsia"/>
          <w:sz w:val="24"/>
        </w:rPr>
        <w:t>0.25%</w:t>
      </w:r>
      <w:r>
        <w:rPr>
          <w:rFonts w:asciiTheme="minorEastAsia" w:eastAsiaTheme="minorEastAsia" w:hAnsiTheme="minorEastAsia" w:cs="Arial" w:hint="eastAsia"/>
          <w:sz w:val="24"/>
        </w:rPr>
        <w:t>的年费率计提。托管费的计算方法如下：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w:t>
      </w:r>
      <w:r>
        <w:rPr>
          <w:rFonts w:asciiTheme="minorEastAsia" w:eastAsiaTheme="minorEastAsia" w:hAnsiTheme="minorEastAsia" w:cs="Arial"/>
          <w:sz w:val="24"/>
        </w:rPr>
        <w:t>0.25%</w:t>
      </w:r>
      <w:r>
        <w:rPr>
          <w:rFonts w:asciiTheme="minorEastAsia" w:eastAsiaTheme="minorEastAsia" w:hAnsiTheme="minorEastAsia" w:cs="Arial" w:hint="eastAsia"/>
          <w:sz w:val="24"/>
        </w:rPr>
        <w:t>÷当年天数</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为每日应计提的基金托管费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w:t>
      </w:r>
      <w:r>
        <w:rPr>
          <w:rFonts w:asciiTheme="minorEastAsia" w:eastAsiaTheme="minorEastAsia" w:hAnsiTheme="minorEastAsia" w:cs="Arial" w:hint="eastAsia"/>
          <w:sz w:val="24"/>
        </w:rPr>
        <w:t>为前一日的基金资产净值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w:t>
      </w:r>
      <w:r>
        <w:rPr>
          <w:rFonts w:asciiTheme="minorEastAsia" w:eastAsiaTheme="minorEastAsia" w:hAnsiTheme="minorEastAsia" w:cs="Arial" w:hint="eastAsia"/>
          <w:sz w:val="24"/>
        </w:rPr>
        <w:t>C</w:t>
      </w:r>
      <w:r>
        <w:rPr>
          <w:rFonts w:asciiTheme="minorEastAsia" w:eastAsiaTheme="minorEastAsia" w:hAnsiTheme="minorEastAsia" w:cs="Arial" w:hint="eastAsia"/>
          <w:sz w:val="24"/>
        </w:rPr>
        <w:t>类基金份额的</w:t>
      </w:r>
      <w:r>
        <w:rPr>
          <w:rFonts w:asciiTheme="minorEastAsia" w:eastAsiaTheme="minorEastAsia" w:hAnsiTheme="minorEastAsia" w:cs="Arial"/>
          <w:sz w:val="24"/>
        </w:rPr>
        <w:t>销售服务费</w:t>
      </w:r>
      <w:r>
        <w:rPr>
          <w:rFonts w:asciiTheme="minorEastAsia" w:eastAsiaTheme="minorEastAsia" w:hAnsiTheme="minorEastAsia" w:cs="Arial" w:hint="eastAsia"/>
          <w:sz w:val="24"/>
        </w:rPr>
        <w:t>的计提比例和计提方法</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w:t>
      </w:r>
      <w:r>
        <w:rPr>
          <w:rFonts w:asciiTheme="minorEastAsia" w:eastAsiaTheme="minorEastAsia" w:hAnsiTheme="minorEastAsia" w:cs="Arial" w:hint="eastAsia"/>
          <w:sz w:val="24"/>
        </w:rPr>
        <w:t>A</w:t>
      </w:r>
      <w:r>
        <w:rPr>
          <w:rFonts w:asciiTheme="minorEastAsia" w:eastAsiaTheme="minorEastAsia" w:hAnsiTheme="minorEastAsia" w:cs="Arial" w:hint="eastAsia"/>
          <w:sz w:val="24"/>
        </w:rPr>
        <w:t>类基金份额不收取销售服务费，</w:t>
      </w:r>
      <w:r>
        <w:rPr>
          <w:rFonts w:asciiTheme="minorEastAsia" w:eastAsiaTheme="minorEastAsia" w:hAnsiTheme="minorEastAsia" w:cs="Arial"/>
          <w:sz w:val="24"/>
        </w:rPr>
        <w:t>C</w:t>
      </w:r>
      <w:r>
        <w:rPr>
          <w:rFonts w:asciiTheme="minorEastAsia" w:eastAsiaTheme="minorEastAsia" w:hAnsiTheme="minorEastAsia" w:cs="Arial" w:hint="eastAsia"/>
          <w:sz w:val="24"/>
        </w:rPr>
        <w:t>类基金份额的销售服务费年费率为</w:t>
      </w:r>
      <w:r>
        <w:rPr>
          <w:rFonts w:asciiTheme="minorEastAsia" w:eastAsiaTheme="minorEastAsia" w:hAnsiTheme="minorEastAsia" w:cs="Arial"/>
          <w:sz w:val="24"/>
        </w:rPr>
        <w:t>0.4%</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本基金销售服务费按前一日</w:t>
      </w:r>
      <w:r>
        <w:rPr>
          <w:rFonts w:asciiTheme="minorEastAsia" w:eastAsiaTheme="minorEastAsia" w:hAnsiTheme="minorEastAsia" w:cs="Arial"/>
          <w:sz w:val="24"/>
        </w:rPr>
        <w:t>C</w:t>
      </w:r>
      <w:r>
        <w:rPr>
          <w:rFonts w:asciiTheme="minorEastAsia" w:eastAsiaTheme="minorEastAsia" w:hAnsiTheme="minorEastAsia" w:cs="Arial" w:hint="eastAsia"/>
          <w:sz w:val="24"/>
        </w:rPr>
        <w:t>类基金份额的基金资产净值的</w:t>
      </w:r>
      <w:r>
        <w:rPr>
          <w:rFonts w:asciiTheme="minorEastAsia" w:eastAsiaTheme="minorEastAsia" w:hAnsiTheme="minorEastAsia" w:cs="Arial"/>
          <w:sz w:val="24"/>
        </w:rPr>
        <w:t>0.4%</w:t>
      </w:r>
      <w:r>
        <w:rPr>
          <w:rFonts w:asciiTheme="minorEastAsia" w:eastAsiaTheme="minorEastAsia" w:hAnsiTheme="minorEastAsia" w:cs="Arial" w:hint="eastAsia"/>
          <w:sz w:val="24"/>
        </w:rPr>
        <w:t>年费率计提。</w:t>
      </w:r>
      <w:r>
        <w:rPr>
          <w:rFonts w:asciiTheme="minorEastAsia" w:eastAsiaTheme="minorEastAsia" w:hAnsiTheme="minorEastAsia" w:cs="Arial"/>
          <w:sz w:val="24"/>
        </w:rPr>
        <w:t xml:space="preserve"> </w:t>
      </w:r>
      <w:r>
        <w:rPr>
          <w:rFonts w:asciiTheme="minorEastAsia" w:eastAsiaTheme="minorEastAsia" w:hAnsiTheme="minorEastAsia" w:cs="Arial" w:hint="eastAsia"/>
          <w:sz w:val="24"/>
        </w:rPr>
        <w:t>计算方法如下：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H=E</w:t>
      </w:r>
      <w:r>
        <w:rPr>
          <w:rFonts w:asciiTheme="minorEastAsia" w:eastAsiaTheme="minorEastAsia" w:hAnsiTheme="minorEastAsia" w:cs="Arial" w:hint="eastAsia"/>
          <w:sz w:val="24"/>
        </w:rPr>
        <w:t>×</w:t>
      </w:r>
      <w:r>
        <w:rPr>
          <w:rFonts w:asciiTheme="minorEastAsia" w:eastAsiaTheme="minorEastAsia" w:hAnsiTheme="minorEastAsia" w:cs="Arial"/>
          <w:sz w:val="24"/>
        </w:rPr>
        <w:t>0.4%</w:t>
      </w:r>
      <w:r>
        <w:rPr>
          <w:rFonts w:asciiTheme="minorEastAsia" w:eastAsiaTheme="minorEastAsia" w:hAnsiTheme="minorEastAsia" w:cs="Arial" w:hint="eastAsia"/>
          <w:sz w:val="24"/>
        </w:rPr>
        <w:t>÷当年天数</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H</w:t>
      </w:r>
      <w:r>
        <w:rPr>
          <w:rFonts w:asciiTheme="minorEastAsia" w:eastAsiaTheme="minorEastAsia" w:hAnsiTheme="minorEastAsia" w:cs="Arial" w:hint="eastAsia"/>
          <w:sz w:val="24"/>
        </w:rPr>
        <w:t>为</w:t>
      </w:r>
      <w:r>
        <w:rPr>
          <w:rFonts w:asciiTheme="minorEastAsia" w:eastAsiaTheme="minorEastAsia" w:hAnsiTheme="minorEastAsia" w:cs="Arial"/>
          <w:sz w:val="24"/>
        </w:rPr>
        <w:t>C</w:t>
      </w:r>
      <w:r>
        <w:rPr>
          <w:rFonts w:asciiTheme="minorEastAsia" w:eastAsiaTheme="minorEastAsia" w:hAnsiTheme="minorEastAsia" w:cs="Arial" w:hint="eastAsia"/>
          <w:sz w:val="24"/>
        </w:rPr>
        <w:t>类基金份额每日应计提的销售服务费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E</w:t>
      </w:r>
      <w:r>
        <w:rPr>
          <w:rFonts w:asciiTheme="minorEastAsia" w:eastAsiaTheme="minorEastAsia" w:hAnsiTheme="minorEastAsia" w:cs="Arial" w:hint="eastAsia"/>
          <w:sz w:val="24"/>
        </w:rPr>
        <w:t>为</w:t>
      </w:r>
      <w:r>
        <w:rPr>
          <w:rFonts w:asciiTheme="minorEastAsia" w:eastAsiaTheme="minorEastAsia" w:hAnsiTheme="minorEastAsia" w:cs="Arial"/>
          <w:sz w:val="24"/>
        </w:rPr>
        <w:t>C</w:t>
      </w:r>
      <w:r>
        <w:rPr>
          <w:rFonts w:asciiTheme="minorEastAsia" w:eastAsiaTheme="minorEastAsia" w:hAnsiTheme="minorEastAsia" w:cs="Arial" w:hint="eastAsia"/>
          <w:sz w:val="24"/>
        </w:rPr>
        <w:t>类基金份额前一日的基金资产净值</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账户开户费用、证券交易结算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r>
        <w:rPr>
          <w:rFonts w:asciiTheme="minorEastAsia" w:eastAsiaTheme="minorEastAsia" w:hAnsiTheme="minorEastAsia" w:cs="Arial"/>
          <w:sz w:val="24"/>
        </w:rPr>
        <w:t>，由基金托管人从基金财产中支付</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（四）不列入基金费用的项目</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sz w:val="24"/>
        </w:rPr>
        <w:t>、基金管理人和基金托管人因未履行或未完全履行义务导致的费用支出或基金财产的损失；</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、基金管理人和基金托管人处理与基金运作无关的事项发生的费用；</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、《基金合同》生效前的相关费用；</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、其他根据相关法律法规及中国证监会的有关规定不得列入基金费用的项目。</w:t>
      </w:r>
      <w:r>
        <w:rPr>
          <w:rFonts w:asciiTheme="minorEastAsia" w:eastAsiaTheme="minorEastAsia" w:hAnsiTheme="minorEastAsia" w:cs="Arial"/>
          <w:sz w:val="24"/>
        </w:rPr>
        <w:t xml:space="preserve"> </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（五）基金管理费、基金托管费和销售服务费的复核程序、支付方式和时间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复核程序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基金托管人对基金管理人计提的基金管理费、基金托管费和销售服务费等，根据本托管协议和《基金合同》的有关规定进行复核。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支付方式和时间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基金管理费、基金托管费、</w:t>
      </w:r>
      <w:r>
        <w:rPr>
          <w:rFonts w:asciiTheme="minorEastAsia" w:eastAsiaTheme="minorEastAsia" w:hAnsiTheme="minorEastAsia" w:cs="Arial"/>
          <w:sz w:val="24"/>
        </w:rPr>
        <w:t>销售服务费</w:t>
      </w:r>
      <w:r>
        <w:rPr>
          <w:rFonts w:asciiTheme="minorEastAsia" w:eastAsiaTheme="minorEastAsia" w:hAnsiTheme="minorEastAsia" w:cs="Arial" w:hint="eastAsia"/>
          <w:sz w:val="24"/>
        </w:rPr>
        <w:t>每日计提，按月支付。由基金托管人根据与基金管理人核对一致的财务数据，自动在月初</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个工作日内、按照指定的账户路径进行资金支付，基金管理人无需再出具资金划拨指令。</w:t>
      </w:r>
      <w:r>
        <w:rPr>
          <w:rFonts w:asciiTheme="minorEastAsia" w:eastAsiaTheme="minorEastAsia" w:hAnsiTheme="minorEastAsia" w:cs="Arial"/>
          <w:sz w:val="24"/>
        </w:rPr>
        <w:t>若遇法定节假日、休息日等，支付</w:t>
      </w:r>
      <w:r>
        <w:rPr>
          <w:rFonts w:asciiTheme="minorEastAsia" w:eastAsiaTheme="minorEastAsia" w:hAnsiTheme="minorEastAsia" w:cs="Arial"/>
          <w:sz w:val="24"/>
        </w:rPr>
        <w:t>日期顺延。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在首期支付基金管理费、销售服务费前，基金管理人应向托管人出具正式函件指定基金管理费的收款账户。基金管理人如需要变更此账户，应提前</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个工作日向托管人出具书面的收款账户变更通知。</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销售服务费主要用于本基金持续销售以及基金份额持有人服务等各项费用。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（六）违规处理方式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89" w:name="_Toc124325896"/>
      <w:r>
        <w:rPr>
          <w:rFonts w:asciiTheme="minorEastAsia" w:eastAsiaTheme="minorEastAsia" w:hAnsiTheme="minorEastAsia" w:hint="eastAsia"/>
          <w:sz w:val="30"/>
        </w:rPr>
        <w:t>十二、基金份额持有人名册的保管</w:t>
      </w:r>
      <w:bookmarkEnd w:id="89"/>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年。如不能妥善保管，则按相关法规承担责任。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份额持有人名册由登记机构编制，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0" w:name="_Toc124325897"/>
      <w:r>
        <w:rPr>
          <w:rFonts w:asciiTheme="minorEastAsia" w:eastAsiaTheme="minorEastAsia" w:hAnsiTheme="minorEastAsia" w:hint="eastAsia"/>
          <w:sz w:val="30"/>
        </w:rPr>
        <w:lastRenderedPageBreak/>
        <w:t>十三、基</w:t>
      </w:r>
      <w:r>
        <w:rPr>
          <w:rFonts w:asciiTheme="minorEastAsia" w:eastAsiaTheme="minorEastAsia" w:hAnsiTheme="minorEastAsia" w:hint="eastAsia"/>
          <w:sz w:val="30"/>
        </w:rPr>
        <w:t>金有关文件档案的保存</w:t>
      </w:r>
      <w:bookmarkEnd w:id="90"/>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（一）档案保存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Theme="minorEastAsia" w:eastAsiaTheme="minorEastAsia" w:hAnsiTheme="minorEastAsia" w:cs="Arial" w:hint="eastAsia"/>
          <w:sz w:val="24"/>
        </w:rPr>
        <w:t xml:space="preserve">15 </w:t>
      </w:r>
      <w:r>
        <w:rPr>
          <w:rFonts w:asciiTheme="minorEastAsia" w:eastAsiaTheme="minorEastAsia" w:hAnsiTheme="minorEastAsia" w:cs="Arial" w:hint="eastAsia"/>
          <w:sz w:val="24"/>
        </w:rPr>
        <w:t>年。</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（二）合同档案的建立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基金管理人签署重大合同文本后，应及时将合同文本正本送达基金托管人处。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基金管理人应及时将与本基金账务处理、资金划拨等有关的合同、协议传真基金托管人。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（三）变更与协助</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若基金管理人</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基金托管人发生变更，未变更的一方有义务协助变更后的接任</w:t>
      </w:r>
      <w:r>
        <w:rPr>
          <w:rFonts w:asciiTheme="minorEastAsia" w:eastAsiaTheme="minorEastAsia" w:hAnsiTheme="minorEastAsia" w:cs="Arial" w:hint="eastAsia"/>
          <w:sz w:val="24"/>
        </w:rPr>
        <w:t>人接收相应文件。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（四）基金管理人和基金托管人应按各自职责完整保存原始凭证、记账凭证、基金账册、交易记录和重要合同等，承担保密义务并保存至少十五年以上。</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1" w:name="_Toc124325898"/>
      <w:r>
        <w:rPr>
          <w:rFonts w:asciiTheme="minorEastAsia" w:eastAsiaTheme="minorEastAsia" w:hAnsiTheme="minorEastAsia" w:hint="eastAsia"/>
          <w:sz w:val="30"/>
        </w:rPr>
        <w:t>十四、基金管理人和基金托管人的更换</w:t>
      </w:r>
      <w:bookmarkEnd w:id="91"/>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（一）基金管理人职责终止的情形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基金管理人职责终止的情形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有下列情形之一的，基金管理人职责终止：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被依法取消基金管理资格；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依法解散、被依法撤销或被依法宣告破产；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被基金份额持有人大会解任；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法律法规及中国证监会规定的和《基金合同》约定的其他情形。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基金管理人的更换程序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更换基金管理人必须依照如下程序进行：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提名：新任基金管理人由基金托管人或由单独或合计持有</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以上</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含</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基金份额的基金份额持有人提名；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lastRenderedPageBreak/>
        <w:t>(2)</w:t>
      </w:r>
      <w:r>
        <w:rPr>
          <w:rFonts w:asciiTheme="minorEastAsia" w:eastAsiaTheme="minorEastAsia" w:hAnsiTheme="minorEastAsia" w:cs="Arial"/>
          <w:sz w:val="24"/>
        </w:rPr>
        <w:t>决议：基金份额持有人大会在基金管理人职责终止后</w:t>
      </w:r>
      <w:r>
        <w:rPr>
          <w:rFonts w:asciiTheme="minorEastAsia" w:eastAsiaTheme="minorEastAsia" w:hAnsiTheme="minorEastAsia" w:cs="Arial"/>
          <w:sz w:val="24"/>
        </w:rPr>
        <w:t>6</w:t>
      </w:r>
      <w:r>
        <w:rPr>
          <w:rFonts w:asciiTheme="minorEastAsia" w:eastAsiaTheme="minorEastAsia" w:hAnsiTheme="minorEastAsia" w:cs="Arial"/>
          <w:sz w:val="24"/>
        </w:rPr>
        <w:t>个月内对被提名的基金管理人形成决议，该决议需经参加大会的基金份额持有人所持表决权的三分之二以上</w:t>
      </w:r>
      <w:r>
        <w:rPr>
          <w:rFonts w:asciiTheme="minorEastAsia" w:eastAsiaTheme="minorEastAsia" w:hAnsiTheme="minorEastAsia" w:cs="Arial"/>
          <w:sz w:val="24"/>
        </w:rPr>
        <w:t>(</w:t>
      </w:r>
      <w:r>
        <w:rPr>
          <w:rFonts w:asciiTheme="minorEastAsia" w:eastAsiaTheme="minorEastAsia" w:hAnsiTheme="minorEastAsia" w:cs="Arial"/>
          <w:sz w:val="24"/>
        </w:rPr>
        <w:t>含三分之二</w:t>
      </w:r>
      <w:r>
        <w:rPr>
          <w:rFonts w:asciiTheme="minorEastAsia" w:eastAsiaTheme="minorEastAsia" w:hAnsiTheme="minorEastAsia" w:cs="Arial"/>
          <w:sz w:val="24"/>
        </w:rPr>
        <w:t>)</w:t>
      </w:r>
      <w:r>
        <w:rPr>
          <w:rFonts w:asciiTheme="minorEastAsia" w:eastAsiaTheme="minorEastAsia" w:hAnsiTheme="minorEastAsia" w:cs="Arial"/>
          <w:sz w:val="24"/>
        </w:rPr>
        <w:t>表决通过；</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临时基金管理人：新任基金管理人产生之前，由中国证监会指定临时基金管理人；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备案：基金份额持有人大会选任基金管理人的决议须报中国证监会备案；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sz w:val="24"/>
        </w:rPr>
        <w:t>公告：基金管理人更换后，由基金托</w:t>
      </w:r>
      <w:r>
        <w:rPr>
          <w:rFonts w:asciiTheme="minorEastAsia" w:eastAsiaTheme="minorEastAsia" w:hAnsiTheme="minorEastAsia" w:cs="Arial"/>
          <w:sz w:val="24"/>
        </w:rPr>
        <w:t>管人在更换基金管理人的基金份额持有人大会决议生效后</w:t>
      </w:r>
      <w:r>
        <w:rPr>
          <w:rFonts w:asciiTheme="minorEastAsia" w:eastAsiaTheme="minorEastAsia" w:hAnsiTheme="minorEastAsia" w:cs="Arial"/>
          <w:sz w:val="24"/>
        </w:rPr>
        <w:t>2</w:t>
      </w:r>
      <w:r>
        <w:rPr>
          <w:rFonts w:asciiTheme="minorEastAsia" w:eastAsiaTheme="minorEastAsia" w:hAnsiTheme="minorEastAsia" w:cs="Arial" w:hint="eastAsia"/>
          <w:sz w:val="24"/>
        </w:rPr>
        <w:t>个工作</w:t>
      </w:r>
      <w:r>
        <w:rPr>
          <w:rFonts w:asciiTheme="minorEastAsia" w:eastAsiaTheme="minorEastAsia" w:hAnsiTheme="minorEastAsia" w:cs="Arial"/>
          <w:sz w:val="24"/>
        </w:rPr>
        <w:t>日内在指定媒介公告；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(6)</w:t>
      </w:r>
      <w:r>
        <w:rPr>
          <w:rFonts w:asciiTheme="minorEastAsia" w:eastAsiaTheme="minorEastAsia" w:hAnsiTheme="minorEastAsia" w:cs="Arial"/>
          <w:sz w:val="24"/>
        </w:rPr>
        <w:t>交接：基金管理人职责终止的，基金管理人应妥善保管基金管理业务资料，</w:t>
      </w:r>
      <w:r>
        <w:rPr>
          <w:rFonts w:asciiTheme="minorEastAsia" w:eastAsiaTheme="minorEastAsia" w:hAnsiTheme="minorEastAsia" w:cs="Arial" w:hint="eastAsia"/>
          <w:sz w:val="24"/>
        </w:rPr>
        <w:t>及时向临时基金管理人或新任基金管理人办理基金管理业务的移交手续，临时基金管理人或新任基金管理人应及时接收。临时基金管理人或新任基金管理人应与基金托管人核对基金资产总值和</w:t>
      </w:r>
      <w:r>
        <w:rPr>
          <w:rFonts w:asciiTheme="minorEastAsia" w:eastAsiaTheme="minorEastAsia" w:hAnsiTheme="minorEastAsia" w:cs="Arial"/>
          <w:sz w:val="24"/>
        </w:rPr>
        <w:t>净值</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审计：基金管理人职责终止的，应当按照法律法规规定聘请会计师事务所对基金财产进行审计，并将审计结果予以公告，同时报中国证监会备案，审计费用从基金财产中列支；</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hint="eastAsia"/>
          <w:sz w:val="24"/>
        </w:rPr>
        <w:t>基金名称变更：基</w:t>
      </w:r>
      <w:r>
        <w:rPr>
          <w:rFonts w:asciiTheme="minorEastAsia" w:eastAsiaTheme="minorEastAsia" w:hAnsiTheme="minorEastAsia" w:cs="Arial" w:hint="eastAsia"/>
          <w:sz w:val="24"/>
        </w:rPr>
        <w:t>金管理人更换后，如果原任或新任基金管理人要求，应按其要求替换或删除基金名称中与原基金管理人有关的名称字样。</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（二）基金托管人职责终止的情形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基金托管人职责终止的情形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有下列情形之一的，基金托管人职责终止：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被依法取消基金托管资格；</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依法解散、被依法撤销或被依法宣告破产；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被基金份额持有人大会解任；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法律法规及中国证监会规定的和《基金合同》约定的其他情形。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基金托管人的更换程序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提名：新任基金托管人由基金管理人或由单独或合计持有</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以上</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含</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基金份额的基金份额持有</w:t>
      </w:r>
      <w:r>
        <w:rPr>
          <w:rFonts w:asciiTheme="minorEastAsia" w:eastAsiaTheme="minorEastAsia" w:hAnsiTheme="minorEastAsia" w:cs="Arial" w:hint="eastAsia"/>
          <w:sz w:val="24"/>
        </w:rPr>
        <w:t>人提名；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决议：基金份额持有人大会在基金托管人职责终止后</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个月内对被提名的基金托管人形成决议，该决议需经参加大会的基金份额持有人所持表决权的三分之二以上</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含三分之二</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表决通过，自表决通过之日起生效；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(3)</w:t>
      </w:r>
      <w:r>
        <w:rPr>
          <w:rFonts w:asciiTheme="minorEastAsia" w:eastAsiaTheme="minorEastAsia" w:hAnsiTheme="minorEastAsia" w:cs="Arial" w:hint="eastAsia"/>
          <w:sz w:val="24"/>
        </w:rPr>
        <w:t>临时基金托管人：新任基金托管人产生之前，由中国证监会指定临时基金托管人；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备案：基金份额持有人大会更换基金托管人的决议须报中国证监会备案；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公告：基金托管人更换后，由基金管理人在更换基金托管人的基金份额持有人大会决议生效后</w:t>
      </w:r>
      <w:r>
        <w:rPr>
          <w:rFonts w:asciiTheme="minorEastAsia" w:eastAsiaTheme="minorEastAsia" w:hAnsiTheme="minorEastAsia" w:cs="Arial" w:hint="eastAsia"/>
          <w:sz w:val="24"/>
        </w:rPr>
        <w:t xml:space="preserve"> 2</w:t>
      </w:r>
      <w:r>
        <w:rPr>
          <w:rFonts w:asciiTheme="minorEastAsia" w:eastAsiaTheme="minorEastAsia" w:hAnsiTheme="minorEastAsia" w:cs="Arial" w:hint="eastAsia"/>
          <w:sz w:val="24"/>
        </w:rPr>
        <w:t>个工作日内在指定媒介公告；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交接：基金托管人职责终止的，</w:t>
      </w:r>
      <w:r>
        <w:rPr>
          <w:rFonts w:asciiTheme="minorEastAsia" w:eastAsiaTheme="minorEastAsia" w:hAnsiTheme="minorEastAsia" w:cs="Arial" w:hint="eastAsia"/>
          <w:sz w:val="24"/>
        </w:rPr>
        <w:t>应当妥善保管基金财产和基金托管业务资料，及时办理基金财产和基金托管业务的移交手续，新任基金托管人或者临时基金托管人应当及时接收。新任基金托管人或临时基金托管人应与基金管理人核对基金资产总值和</w:t>
      </w:r>
      <w:r>
        <w:rPr>
          <w:rFonts w:asciiTheme="minorEastAsia" w:eastAsiaTheme="minorEastAsia" w:hAnsiTheme="minorEastAsia" w:cs="Arial"/>
          <w:sz w:val="24"/>
        </w:rPr>
        <w:t>净值</w:t>
      </w:r>
      <w:r>
        <w:rPr>
          <w:rFonts w:asciiTheme="minorEastAsia" w:eastAsiaTheme="minorEastAsia" w:hAnsiTheme="minorEastAsia" w:cs="Arial" w:hint="eastAsia"/>
          <w:sz w:val="24"/>
        </w:rPr>
        <w:t>；</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审计：基金托管人职责终止的，应当按照法律法规规定聘请会计师事务所对基金财产进行审计，并将审计结果予以公告，同时报中国证监会备案，审计费用从基金财产中列支。</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（三）基金管理人与基金托管人同时更换的条件和程序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提名：如果基金管理人和基金托管人同时更换，由单独或合计持有基金总份额</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以上</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含</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的基金份</w:t>
      </w:r>
      <w:r>
        <w:rPr>
          <w:rFonts w:asciiTheme="minorEastAsia" w:eastAsiaTheme="minorEastAsia" w:hAnsiTheme="minorEastAsia" w:cs="Arial" w:hint="eastAsia"/>
          <w:sz w:val="24"/>
        </w:rPr>
        <w:t>额持有人提名新的基金管理人和基金托管人；</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基金管理人和基金托管人的更换分别按上述程序进行；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公告：新任基金管理人和新任基金托管人应在更换基金管理人和基金托管人的基金份额持有人大会决议生效后</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个工作日内在指定媒介上联合公告。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2" w:name="_Toc124325899"/>
      <w:r>
        <w:rPr>
          <w:rFonts w:asciiTheme="minorEastAsia" w:eastAsiaTheme="minorEastAsia" w:hAnsiTheme="minorEastAsia" w:hint="eastAsia"/>
          <w:sz w:val="30"/>
        </w:rPr>
        <w:t>十五、禁止行为</w:t>
      </w:r>
      <w:bookmarkEnd w:id="92"/>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本协议当事人禁止从事的行为，包括但不限于：</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（一）基金管理人、基金托管人将其固有财产或者他人财产混同于基金财产从事证券投资。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（二）基金管理人不公平地对待其管理的不同基金财产，基金托管人不公平地对待其托管的不同基金财产。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（三）基金管理人、基金托管人利用基金财产为基金份额持有人以外的第三人牟取利益。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（四）基金管理人、基金托管人向基金份额持有人违规承诺收益或者承担损失。</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rsidR="006109AE" w:rsidRDefault="00754B7E">
      <w:pPr>
        <w:adjustRightInd w:val="0"/>
        <w:snapToGrid w:val="0"/>
        <w:spacing w:line="360" w:lineRule="auto"/>
        <w:ind w:firstLineChars="200" w:firstLine="480"/>
        <w:rPr>
          <w:rFonts w:asciiTheme="minorEastAsia" w:eastAsiaTheme="minorEastAsia" w:hAnsiTheme="minorEastAsia" w:cs="Arial"/>
        </w:rPr>
      </w:pPr>
      <w:r>
        <w:rPr>
          <w:rFonts w:asciiTheme="minorEastAsia" w:eastAsiaTheme="minorEastAsia" w:hAnsiTheme="minorEastAsia" w:cs="Arial" w:hint="eastAsia"/>
          <w:sz w:val="24"/>
        </w:rPr>
        <w:t>（六）基金管理人在没有充足资金的情况下向基金托管人发出投资指令和赎回、分红资金的划拨指令，或违规向基金托管人发出指令。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（七）基金管理人、基金托管人在行政上、财务上不独立</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其高级管理人员和其他从业人员相互兼职。</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（九）基金财产用于下列投资或者活动：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承销证券；</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违反规定向他人贷款或者提供担保；</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从事承担无限责任的投资；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买卖其他基金份额，但是中国证监会另有规定的除外；</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sz w:val="24"/>
        </w:rPr>
        <w:t>向基金</w:t>
      </w:r>
      <w:r>
        <w:rPr>
          <w:rFonts w:asciiTheme="minorEastAsia" w:eastAsiaTheme="minorEastAsia" w:hAnsiTheme="minorEastAsia" w:cs="Arial"/>
          <w:sz w:val="24"/>
        </w:rPr>
        <w:t>管理人、基金托管人出资；</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6.</w:t>
      </w:r>
      <w:r>
        <w:rPr>
          <w:rFonts w:asciiTheme="minorEastAsia" w:eastAsiaTheme="minorEastAsia" w:hAnsiTheme="minorEastAsia" w:cs="Arial"/>
          <w:sz w:val="24"/>
        </w:rPr>
        <w:t>从事内幕交易、操纵证券交易价格及其他不正当的证券交易活动；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7.</w:t>
      </w:r>
      <w:r>
        <w:rPr>
          <w:rFonts w:asciiTheme="minorEastAsia" w:eastAsiaTheme="minorEastAsia" w:hAnsiTheme="minorEastAsia" w:cs="Arial"/>
          <w:sz w:val="24"/>
        </w:rPr>
        <w:t>法律、行政法规和中国证监会规定禁止的其他活动。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如法律、行政法规或监管部门取消上述限制，基金管理人在履行适当程序后，则本基金投资不再受相关限制。</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（十）法律法规和《基金合同》禁止的其他行为，以及依照法律、行政法规有关规定，由中国证监会规定禁止基金管理人、基金托管人从事的其他行为。</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3" w:name="_Toc124325900"/>
      <w:r>
        <w:rPr>
          <w:rFonts w:asciiTheme="minorEastAsia" w:eastAsiaTheme="minorEastAsia" w:hAnsiTheme="minorEastAsia" w:hint="eastAsia"/>
          <w:sz w:val="30"/>
        </w:rPr>
        <w:t>十六、托管协议的变更、终止与基金财产的清算</w:t>
      </w:r>
      <w:bookmarkEnd w:id="93"/>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（一）托管协议的变更程序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本协议双方当事人经协商一致，可以对协议进行修改。修改后的新协议，</w:t>
      </w:r>
      <w:r>
        <w:rPr>
          <w:rFonts w:asciiTheme="minorEastAsia" w:eastAsiaTheme="minorEastAsia" w:hAnsiTheme="minorEastAsia" w:cs="Arial" w:hint="eastAsia"/>
          <w:sz w:val="24"/>
        </w:rPr>
        <w:t>其内容不得与《基金合同》的规定有任何冲突。基金托管协议的变更报中国证监会备案。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（二）托管协议终止的情形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《基金合同》终止；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基金托管人解散、依法被撤销、破产或由其他基金托管人接管基金资产；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基金管理人解散、依法被撤销、破产或由其他基金管理人接管基金管理权；</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发生法律法规或《基金合同》规定的终止事项。</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（三）基金财产的清算</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基金财产清算小组：自出现《基金合同》终止事由之日起</w:t>
      </w:r>
      <w:r>
        <w:rPr>
          <w:rFonts w:asciiTheme="minorEastAsia" w:eastAsiaTheme="minorEastAsia" w:hAnsiTheme="minorEastAsia" w:cs="Arial" w:hint="eastAsia"/>
          <w:sz w:val="24"/>
        </w:rPr>
        <w:t>30</w:t>
      </w:r>
      <w:r>
        <w:rPr>
          <w:rFonts w:asciiTheme="minorEastAsia" w:eastAsiaTheme="minorEastAsia" w:hAnsiTheme="minorEastAsia" w:cs="Arial" w:hint="eastAsia"/>
          <w:sz w:val="24"/>
        </w:rPr>
        <w:t>个工作日内成立清算小组，基金管理人组织基金财产清算小组并在中国证监会的监督下进行基金清算。</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基金财产清算小组职责：基金财产清算小组负责基金财产的保管、清理、估价、变现和分配。基金财产清算小组可以依法进行必要的民事活动。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基金财产清算程序：</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《基金合同》终止情形出现时，由基金财产清算小组统一接管基金财产；</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对基金财产和债权债务进行清理和确认；</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对基金财产进行估值和变现；</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制作清算报告；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聘请会计师事务所对清算报告进行外部审计，聘请律师事务所对清算报告出具法律意见书；</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将清算报告报中国证监会备案并公告；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对基金剩余财产进行分配。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基金财产清算的期限为</w:t>
      </w:r>
      <w:r>
        <w:rPr>
          <w:rFonts w:asciiTheme="minorEastAsia" w:eastAsiaTheme="minorEastAsia" w:hAnsiTheme="minorEastAsia" w:cs="Arial"/>
          <w:sz w:val="24"/>
        </w:rPr>
        <w:t xml:space="preserve"> 6 </w:t>
      </w:r>
      <w:r>
        <w:rPr>
          <w:rFonts w:asciiTheme="minorEastAsia" w:eastAsiaTheme="minorEastAsia" w:hAnsiTheme="minorEastAsia" w:cs="Arial"/>
          <w:sz w:val="24"/>
        </w:rPr>
        <w:t>个</w:t>
      </w:r>
      <w:r>
        <w:rPr>
          <w:rFonts w:asciiTheme="minorEastAsia" w:eastAsiaTheme="minorEastAsia" w:hAnsiTheme="minorEastAsia" w:cs="Arial" w:hint="eastAsia"/>
          <w:sz w:val="24"/>
        </w:rPr>
        <w:t>月。</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清算费用</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基金财产清算剩余资产的分配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w:t>
      </w:r>
      <w:r>
        <w:rPr>
          <w:rFonts w:asciiTheme="minorEastAsia" w:eastAsiaTheme="minorEastAsia" w:hAnsiTheme="minorEastAsia" w:cs="Arial" w:hint="eastAsia"/>
          <w:sz w:val="24"/>
        </w:rPr>
        <w:lastRenderedPageBreak/>
        <w:t>比例进行分配。</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hint="eastAsia"/>
          <w:sz w:val="24"/>
        </w:rPr>
        <w:t>基金财产清算的公告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Theme="minorEastAsia" w:eastAsiaTheme="minorEastAsia" w:hAnsiTheme="minorEastAsia" w:cs="Arial"/>
          <w:sz w:val="24"/>
        </w:rPr>
        <w:t>5</w:t>
      </w:r>
      <w:r>
        <w:rPr>
          <w:rFonts w:asciiTheme="minorEastAsia" w:eastAsiaTheme="minorEastAsia" w:hAnsiTheme="minorEastAsia" w:cs="Arial"/>
          <w:sz w:val="24"/>
        </w:rPr>
        <w:t>个</w:t>
      </w:r>
      <w:r>
        <w:rPr>
          <w:rFonts w:asciiTheme="minorEastAsia" w:eastAsiaTheme="minorEastAsia" w:hAnsiTheme="minorEastAsia" w:cs="Arial" w:hint="eastAsia"/>
          <w:sz w:val="24"/>
        </w:rPr>
        <w:t>工作日内由基金财产清算小组进行公告。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w:t>
      </w:r>
      <w:r>
        <w:rPr>
          <w:rFonts w:asciiTheme="minorEastAsia" w:eastAsiaTheme="minorEastAsia" w:hAnsiTheme="minorEastAsia" w:cs="Arial" w:hint="eastAsia"/>
          <w:sz w:val="24"/>
        </w:rPr>
        <w:t>基金财产清算账册及文件的保存</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基金财产清算账册及有关文件由基金托管人保存</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年以上。</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4" w:name="_Toc124325901"/>
      <w:r>
        <w:rPr>
          <w:rFonts w:asciiTheme="minorEastAsia" w:eastAsiaTheme="minorEastAsia" w:hAnsiTheme="minorEastAsia" w:hint="eastAsia"/>
          <w:sz w:val="30"/>
        </w:rPr>
        <w:t>十七、违约责任</w:t>
      </w:r>
      <w:bookmarkEnd w:id="94"/>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（一）基金管理人、基金托管人不履行本协议或履行本协议不符合约定的，应当承担违约责任。</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Theme="minorEastAsia" w:eastAsiaTheme="minorEastAsia" w:hAnsiTheme="minorEastAsia" w:cs="Arial"/>
          <w:sz w:val="24"/>
        </w:rPr>
        <w:t>对损失的赔偿，仅限于直接损失。</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w:t>
      </w:r>
      <w:r>
        <w:rPr>
          <w:rFonts w:asciiTheme="minorEastAsia" w:eastAsiaTheme="minorEastAsia" w:hAnsiTheme="minorEastAsia" w:cs="Arial" w:hint="eastAsia"/>
          <w:sz w:val="24"/>
        </w:rPr>
        <w:t>金向违约方追偿。但是如发生下列情况，当事人免责：</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不可抗力；</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基金管理人、基金托管人按照当时有效的法律法规或中国证监会的规定作为或不作为而造成的损失等；</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基金管理人由于按照《基金合同》规定的投资原则</w:t>
      </w:r>
      <w:r>
        <w:rPr>
          <w:rFonts w:asciiTheme="minorEastAsia" w:eastAsiaTheme="minorEastAsia" w:hAnsiTheme="minorEastAsia" w:cs="Arial"/>
          <w:sz w:val="24"/>
        </w:rPr>
        <w:t>行使或不行使其投资权</w:t>
      </w:r>
      <w:r>
        <w:rPr>
          <w:rFonts w:asciiTheme="minorEastAsia" w:eastAsiaTheme="minorEastAsia" w:hAnsiTheme="minorEastAsia" w:cs="Arial" w:hint="eastAsia"/>
          <w:sz w:val="24"/>
        </w:rPr>
        <w:t>而造成的损失等；</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非因基金管理人、基金托管人的故意或重大过失造成的计算机系统故障、网络故障、通讯故障、电力故障、计算机病毒攻击及其它意外事故所导致的损失等。</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w:t>
      </w:r>
      <w:r>
        <w:rPr>
          <w:rFonts w:asciiTheme="minorEastAsia" w:eastAsiaTheme="minorEastAsia" w:hAnsiTheme="minorEastAsia" w:cs="Arial" w:hint="eastAsia"/>
          <w:sz w:val="24"/>
        </w:rPr>
        <w:t>步扩大的，不得就扩大</w:t>
      </w:r>
      <w:r>
        <w:rPr>
          <w:rFonts w:asciiTheme="minorEastAsia" w:eastAsiaTheme="minorEastAsia" w:hAnsiTheme="minorEastAsia" w:cs="Arial" w:hint="eastAsia"/>
          <w:sz w:val="24"/>
        </w:rPr>
        <w:lastRenderedPageBreak/>
        <w:t>的损失要求赔偿。非违约方因防止损失扩大而支出的合理费用由违约方承担。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w:t>
      </w:r>
      <w:r>
        <w:rPr>
          <w:rFonts w:asciiTheme="minorEastAsia" w:eastAsiaTheme="minorEastAsia" w:hAnsiTheme="minorEastAsia" w:cs="Arial" w:hint="eastAsia"/>
          <w:sz w:val="24"/>
        </w:rPr>
        <w:t>影响。</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5" w:name="_Toc124325902"/>
      <w:r>
        <w:rPr>
          <w:rFonts w:asciiTheme="minorEastAsia" w:eastAsiaTheme="minorEastAsia" w:hAnsiTheme="minorEastAsia" w:hint="eastAsia"/>
          <w:sz w:val="30"/>
        </w:rPr>
        <w:t>十八、争议解决方式</w:t>
      </w:r>
      <w:bookmarkEnd w:id="95"/>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本协议受中国法律管辖。</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6" w:name="_Toc124325903"/>
      <w:r>
        <w:rPr>
          <w:rFonts w:asciiTheme="minorEastAsia" w:eastAsiaTheme="minorEastAsia" w:hAnsiTheme="minorEastAsia" w:hint="eastAsia"/>
          <w:sz w:val="30"/>
        </w:rPr>
        <w:t>十九、托管协议的效力</w:t>
      </w:r>
      <w:bookmarkEnd w:id="96"/>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双方</w:t>
      </w:r>
      <w:r>
        <w:rPr>
          <w:rFonts w:asciiTheme="minorEastAsia" w:eastAsiaTheme="minorEastAsia" w:hAnsiTheme="minorEastAsia" w:cs="Arial" w:hint="eastAsia"/>
          <w:sz w:val="24"/>
        </w:rPr>
        <w:t>对托管协议的效力约定如下：</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Pr>
          <w:rFonts w:asciiTheme="minorEastAsia" w:eastAsiaTheme="minorEastAsia" w:hAnsiTheme="minorEastAsia" w:cs="Arial"/>
          <w:sz w:val="24"/>
        </w:rPr>
        <w:t>注册</w:t>
      </w:r>
      <w:r>
        <w:rPr>
          <w:rFonts w:asciiTheme="minorEastAsia" w:eastAsiaTheme="minorEastAsia" w:hAnsiTheme="minorEastAsia" w:cs="Arial" w:hint="eastAsia"/>
          <w:sz w:val="24"/>
        </w:rPr>
        <w:t>的文本为正式文本。</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w:t>
      </w:r>
      <w:r>
        <w:rPr>
          <w:rFonts w:asciiTheme="minorEastAsia" w:eastAsiaTheme="minorEastAsia" w:hAnsiTheme="minorEastAsia" w:cs="Arial" w:hint="eastAsia"/>
          <w:sz w:val="24"/>
        </w:rPr>
        <w:lastRenderedPageBreak/>
        <w:t>公告之日止。</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（三）托管协议自生效之日起对托管协议当事人具有同等的法律约束力。</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（四）本协议一式六份，协议双方</w:t>
      </w:r>
      <w:r>
        <w:rPr>
          <w:rFonts w:asciiTheme="minorEastAsia" w:eastAsiaTheme="minorEastAsia" w:hAnsiTheme="minorEastAsia" w:cs="Arial" w:hint="eastAsia"/>
          <w:sz w:val="24"/>
        </w:rPr>
        <w:t>各持二份，上报监管机构二份，每份具有同等的法律效力。</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ind w:rightChars="134" w:right="281"/>
        <w:jc w:val="center"/>
        <w:rPr>
          <w:rFonts w:asciiTheme="minorEastAsia" w:eastAsiaTheme="minorEastAsia" w:hAnsiTheme="minorEastAsia"/>
          <w:sz w:val="30"/>
        </w:rPr>
      </w:pPr>
      <w:bookmarkStart w:id="97" w:name="_Toc124325904"/>
      <w:r>
        <w:rPr>
          <w:rFonts w:asciiTheme="minorEastAsia" w:eastAsiaTheme="minorEastAsia" w:hAnsiTheme="minorEastAsia" w:hint="eastAsia"/>
          <w:sz w:val="30"/>
        </w:rPr>
        <w:t>二十、其他事项</w:t>
      </w:r>
      <w:bookmarkEnd w:id="97"/>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如发生有权司法机关依法冻结基金份额持有人的基金份额时，基金管理人应予以配合，承担司法协助义务。</w:t>
      </w:r>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rsidR="006109AE" w:rsidRDefault="006109AE">
      <w:pPr>
        <w:adjustRightInd w:val="0"/>
        <w:snapToGrid w:val="0"/>
        <w:spacing w:line="360" w:lineRule="auto"/>
        <w:ind w:firstLineChars="200" w:firstLine="480"/>
        <w:rPr>
          <w:rFonts w:asciiTheme="minorEastAsia" w:eastAsiaTheme="minorEastAsia" w:hAnsiTheme="minorEastAsia" w:cs="Arial"/>
          <w:sz w:val="24"/>
        </w:rPr>
      </w:pPr>
    </w:p>
    <w:p w:rsidR="006109AE" w:rsidRDefault="00754B7E">
      <w:pPr>
        <w:pStyle w:val="2"/>
        <w:spacing w:line="360" w:lineRule="auto"/>
        <w:jc w:val="center"/>
        <w:rPr>
          <w:rFonts w:asciiTheme="minorEastAsia" w:eastAsiaTheme="minorEastAsia" w:hAnsiTheme="minorEastAsia"/>
          <w:sz w:val="30"/>
        </w:rPr>
      </w:pPr>
      <w:bookmarkStart w:id="98" w:name="_Toc124325905"/>
      <w:r>
        <w:rPr>
          <w:rFonts w:asciiTheme="minorEastAsia" w:eastAsiaTheme="minorEastAsia" w:hAnsiTheme="minorEastAsia" w:hint="eastAsia"/>
          <w:sz w:val="30"/>
        </w:rPr>
        <w:t>二十一、托管协议的签订</w:t>
      </w:r>
      <w:bookmarkEnd w:id="98"/>
    </w:p>
    <w:p w:rsidR="006109AE" w:rsidRDefault="00754B7E">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本托管协议经基金管理人和基金托管人认可后，由该双方当事人在基金托管协议上盖章，并由各自的法定代表人或授权代表签章，并注明基金托管协议的签订地点和签订日期。</w:t>
      </w:r>
    </w:p>
    <w:p w:rsidR="006109AE" w:rsidRDefault="006109AE">
      <w:pPr>
        <w:adjustRightInd w:val="0"/>
        <w:snapToGrid w:val="0"/>
        <w:spacing w:line="360" w:lineRule="auto"/>
        <w:ind w:firstLineChars="200" w:firstLine="640"/>
        <w:rPr>
          <w:rFonts w:asciiTheme="minorEastAsia" w:eastAsiaTheme="minorEastAsia" w:hAnsiTheme="minorEastAsia" w:cs="Arial"/>
          <w:sz w:val="32"/>
        </w:rPr>
        <w:sectPr w:rsidR="006109AE">
          <w:pgSz w:w="11907" w:h="16840"/>
          <w:pgMar w:top="1418" w:right="1559" w:bottom="1418" w:left="1701" w:header="851" w:footer="992" w:gutter="0"/>
          <w:pgNumType w:start="1"/>
          <w:cols w:space="425"/>
          <w:docGrid w:type="lines" w:linePitch="312"/>
        </w:sectPr>
      </w:pPr>
    </w:p>
    <w:p w:rsidR="006109AE" w:rsidRDefault="00754B7E">
      <w:pPr>
        <w:spacing w:line="360" w:lineRule="auto"/>
        <w:ind w:right="26"/>
        <w:rPr>
          <w:rFonts w:asciiTheme="minorEastAsia" w:eastAsiaTheme="minorEastAsia" w:hAnsiTheme="minorEastAsia"/>
          <w:sz w:val="24"/>
        </w:rPr>
      </w:pPr>
      <w:r>
        <w:rPr>
          <w:rFonts w:asciiTheme="minorEastAsia" w:eastAsiaTheme="minorEastAsia" w:hAnsiTheme="minorEastAsia" w:hint="eastAsia"/>
          <w:sz w:val="24"/>
        </w:rPr>
        <w:lastRenderedPageBreak/>
        <w:t>本页无正文，为《中航</w:t>
      </w:r>
      <w:r>
        <w:rPr>
          <w:rFonts w:asciiTheme="minorEastAsia" w:eastAsiaTheme="minorEastAsia" w:hAnsiTheme="minorEastAsia"/>
          <w:sz w:val="24"/>
        </w:rPr>
        <w:t>创新驱动股票型</w:t>
      </w:r>
      <w:r>
        <w:rPr>
          <w:rFonts w:asciiTheme="minorEastAsia" w:eastAsiaTheme="minorEastAsia" w:hAnsiTheme="minorEastAsia" w:hint="eastAsia"/>
          <w:sz w:val="24"/>
        </w:rPr>
        <w:t>证券投资基金托管协议》的签字盖章页。</w:t>
      </w:r>
    </w:p>
    <w:p w:rsidR="006109AE" w:rsidRDefault="006109AE">
      <w:pPr>
        <w:spacing w:line="360" w:lineRule="auto"/>
        <w:rPr>
          <w:rFonts w:asciiTheme="minorEastAsia" w:eastAsiaTheme="minorEastAsia" w:hAnsiTheme="minorEastAsia"/>
          <w:sz w:val="24"/>
        </w:rPr>
      </w:pPr>
    </w:p>
    <w:p w:rsidR="006109AE" w:rsidRDefault="006109AE">
      <w:pPr>
        <w:spacing w:line="360" w:lineRule="auto"/>
        <w:rPr>
          <w:rFonts w:asciiTheme="minorEastAsia" w:eastAsiaTheme="minorEastAsia" w:hAnsiTheme="minorEastAsia"/>
          <w:sz w:val="24"/>
        </w:rPr>
      </w:pPr>
    </w:p>
    <w:p w:rsidR="006109AE" w:rsidRDefault="006109AE">
      <w:pPr>
        <w:spacing w:line="360" w:lineRule="auto"/>
        <w:rPr>
          <w:rFonts w:asciiTheme="minorEastAsia" w:eastAsiaTheme="minorEastAsia" w:hAnsiTheme="minorEastAsia"/>
          <w:sz w:val="24"/>
        </w:rPr>
      </w:pPr>
    </w:p>
    <w:p w:rsidR="006109AE" w:rsidRDefault="00754B7E">
      <w:pPr>
        <w:spacing w:line="360" w:lineRule="auto"/>
        <w:ind w:right="26"/>
        <w:rPr>
          <w:rFonts w:asciiTheme="minorEastAsia" w:eastAsiaTheme="minorEastAsia" w:hAnsiTheme="minorEastAsia"/>
          <w:sz w:val="24"/>
        </w:rPr>
      </w:pPr>
      <w:r>
        <w:rPr>
          <w:rFonts w:asciiTheme="minorEastAsia" w:eastAsiaTheme="minorEastAsia" w:hAnsiTheme="minorEastAsia" w:hint="eastAsia"/>
          <w:sz w:val="24"/>
        </w:rPr>
        <w:t>基金管理人：中航基金管理有限公司（盖章）</w:t>
      </w: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754B7E">
      <w:pPr>
        <w:spacing w:line="360" w:lineRule="auto"/>
        <w:ind w:right="26"/>
        <w:rPr>
          <w:rFonts w:asciiTheme="minorEastAsia" w:eastAsiaTheme="minorEastAsia" w:hAnsiTheme="minorEastAsia"/>
          <w:sz w:val="24"/>
        </w:rPr>
      </w:pPr>
      <w:r>
        <w:rPr>
          <w:rFonts w:asciiTheme="minorEastAsia" w:eastAsiaTheme="minorEastAsia" w:hAnsiTheme="minorEastAsia" w:hint="eastAsia"/>
          <w:sz w:val="24"/>
        </w:rPr>
        <w:t>法定代表人或授权代表：</w:t>
      </w:r>
      <w:r>
        <w:rPr>
          <w:rFonts w:asciiTheme="minorEastAsia" w:eastAsiaTheme="minorEastAsia" w:hAnsiTheme="minorEastAsia" w:hint="eastAsia"/>
          <w:sz w:val="24"/>
        </w:rPr>
        <w:t xml:space="preserve">                   </w:t>
      </w: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754B7E">
      <w:pPr>
        <w:spacing w:line="360" w:lineRule="auto"/>
        <w:ind w:right="26"/>
        <w:rPr>
          <w:rFonts w:asciiTheme="minorEastAsia" w:eastAsiaTheme="minorEastAsia" w:hAnsiTheme="minorEastAsia"/>
          <w:sz w:val="24"/>
        </w:rPr>
      </w:pPr>
      <w:r>
        <w:rPr>
          <w:rFonts w:asciiTheme="minorEastAsia" w:eastAsiaTheme="minorEastAsia" w:hAnsiTheme="minorEastAsia" w:hint="eastAsia"/>
          <w:sz w:val="24"/>
        </w:rPr>
        <w:t>基金托管人：中国建设银行股份有限公司（盖章）</w:t>
      </w: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6109AE">
      <w:pPr>
        <w:spacing w:line="360" w:lineRule="auto"/>
        <w:ind w:right="26"/>
        <w:rPr>
          <w:rFonts w:asciiTheme="minorEastAsia" w:eastAsiaTheme="minorEastAsia" w:hAnsiTheme="minorEastAsia"/>
          <w:sz w:val="24"/>
        </w:rPr>
      </w:pPr>
    </w:p>
    <w:p w:rsidR="006109AE" w:rsidRDefault="00754B7E">
      <w:pPr>
        <w:spacing w:line="360" w:lineRule="auto"/>
        <w:ind w:right="26"/>
        <w:rPr>
          <w:rFonts w:asciiTheme="minorEastAsia" w:eastAsiaTheme="minorEastAsia" w:hAnsiTheme="minorEastAsia"/>
          <w:sz w:val="24"/>
        </w:rPr>
      </w:pPr>
      <w:r>
        <w:rPr>
          <w:rFonts w:asciiTheme="minorEastAsia" w:eastAsiaTheme="minorEastAsia" w:hAnsiTheme="minorEastAsia" w:hint="eastAsia"/>
          <w:sz w:val="24"/>
        </w:rPr>
        <w:t>法定代表人或授权代表：</w:t>
      </w:r>
      <w:r>
        <w:rPr>
          <w:rFonts w:asciiTheme="minorEastAsia" w:eastAsiaTheme="minorEastAsia" w:hAnsiTheme="minorEastAsia" w:hint="eastAsia"/>
          <w:sz w:val="24"/>
        </w:rPr>
        <w:t xml:space="preserve">                   </w:t>
      </w:r>
    </w:p>
    <w:p w:rsidR="006109AE" w:rsidRDefault="006109AE">
      <w:pPr>
        <w:spacing w:line="360" w:lineRule="auto"/>
        <w:ind w:right="26"/>
        <w:rPr>
          <w:rFonts w:asciiTheme="minorEastAsia" w:eastAsiaTheme="minorEastAsia" w:hAnsiTheme="minorEastAsia"/>
          <w:b/>
          <w:sz w:val="24"/>
          <w:szCs w:val="28"/>
        </w:rPr>
      </w:pPr>
    </w:p>
    <w:p w:rsidR="006109AE" w:rsidRDefault="006109AE">
      <w:pPr>
        <w:spacing w:line="360" w:lineRule="auto"/>
        <w:ind w:right="26"/>
        <w:rPr>
          <w:rFonts w:asciiTheme="minorEastAsia" w:eastAsiaTheme="minorEastAsia" w:hAnsiTheme="minorEastAsia"/>
          <w:b/>
          <w:sz w:val="24"/>
          <w:szCs w:val="28"/>
        </w:rPr>
      </w:pPr>
    </w:p>
    <w:p w:rsidR="006109AE" w:rsidRDefault="006109AE">
      <w:pPr>
        <w:spacing w:line="360" w:lineRule="auto"/>
        <w:ind w:right="26"/>
        <w:rPr>
          <w:rFonts w:asciiTheme="minorEastAsia" w:eastAsiaTheme="minorEastAsia" w:hAnsiTheme="minorEastAsia"/>
          <w:b/>
          <w:sz w:val="24"/>
          <w:szCs w:val="28"/>
        </w:rPr>
      </w:pPr>
    </w:p>
    <w:p w:rsidR="006109AE" w:rsidRDefault="00754B7E">
      <w:pPr>
        <w:spacing w:line="360" w:lineRule="auto"/>
        <w:ind w:right="26"/>
        <w:rPr>
          <w:rFonts w:asciiTheme="minorEastAsia" w:eastAsiaTheme="minorEastAsia" w:hAnsiTheme="minorEastAsia"/>
          <w:b/>
          <w:sz w:val="24"/>
          <w:szCs w:val="28"/>
        </w:rPr>
      </w:pPr>
      <w:r>
        <w:rPr>
          <w:rFonts w:asciiTheme="minorEastAsia" w:eastAsiaTheme="minorEastAsia" w:hAnsiTheme="minorEastAsia" w:hint="eastAsia"/>
          <w:b/>
          <w:sz w:val="24"/>
          <w:szCs w:val="28"/>
        </w:rPr>
        <w:t>签订地点：北京</w:t>
      </w:r>
    </w:p>
    <w:p w:rsidR="006109AE" w:rsidRDefault="00754B7E">
      <w:pPr>
        <w:adjustRightInd w:val="0"/>
        <w:snapToGrid w:val="0"/>
        <w:spacing w:line="36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签</w:t>
      </w:r>
      <w:r>
        <w:rPr>
          <w:rFonts w:asciiTheme="minorEastAsia" w:eastAsiaTheme="minorEastAsia" w:hAnsiTheme="minorEastAsia" w:hint="eastAsia"/>
          <w:b/>
          <w:sz w:val="24"/>
          <w:szCs w:val="28"/>
        </w:rPr>
        <w:t xml:space="preserve"> </w:t>
      </w:r>
      <w:r>
        <w:rPr>
          <w:rFonts w:asciiTheme="minorEastAsia" w:eastAsiaTheme="minorEastAsia" w:hAnsiTheme="minorEastAsia" w:hint="eastAsia"/>
          <w:b/>
          <w:sz w:val="24"/>
          <w:szCs w:val="28"/>
        </w:rPr>
        <w:t>订</w:t>
      </w:r>
      <w:r>
        <w:rPr>
          <w:rFonts w:asciiTheme="minorEastAsia" w:eastAsiaTheme="minorEastAsia" w:hAnsiTheme="minorEastAsia" w:hint="eastAsia"/>
          <w:b/>
          <w:sz w:val="24"/>
          <w:szCs w:val="28"/>
        </w:rPr>
        <w:t xml:space="preserve"> </w:t>
      </w:r>
      <w:r>
        <w:rPr>
          <w:rFonts w:asciiTheme="minorEastAsia" w:eastAsiaTheme="minorEastAsia" w:hAnsiTheme="minorEastAsia" w:hint="eastAsia"/>
          <w:b/>
          <w:sz w:val="24"/>
          <w:szCs w:val="28"/>
        </w:rPr>
        <w:t>日：</w:t>
      </w:r>
      <w:r>
        <w:rPr>
          <w:rFonts w:asciiTheme="minorEastAsia" w:eastAsiaTheme="minorEastAsia" w:hAnsiTheme="minorEastAsia" w:hint="eastAsia"/>
          <w:b/>
          <w:sz w:val="24"/>
          <w:szCs w:val="28"/>
        </w:rPr>
        <w:t xml:space="preserve">    </w:t>
      </w:r>
      <w:bookmarkStart w:id="99" w:name="_GoBack"/>
      <w:bookmarkEnd w:id="99"/>
      <w:r>
        <w:rPr>
          <w:rFonts w:asciiTheme="minorEastAsia" w:eastAsiaTheme="minorEastAsia" w:hAnsiTheme="minorEastAsia" w:hint="eastAsia"/>
          <w:b/>
          <w:sz w:val="24"/>
          <w:szCs w:val="28"/>
        </w:rPr>
        <w:t>年</w:t>
      </w:r>
      <w:r>
        <w:rPr>
          <w:rFonts w:asciiTheme="minorEastAsia" w:eastAsiaTheme="minorEastAsia" w:hAnsiTheme="minorEastAsia" w:hint="eastAsia"/>
          <w:b/>
          <w:sz w:val="24"/>
          <w:szCs w:val="28"/>
        </w:rPr>
        <w:t xml:space="preserve">     </w:t>
      </w:r>
      <w:r>
        <w:rPr>
          <w:rFonts w:asciiTheme="minorEastAsia" w:eastAsiaTheme="minorEastAsia" w:hAnsiTheme="minorEastAsia" w:hint="eastAsia"/>
          <w:b/>
          <w:sz w:val="24"/>
          <w:szCs w:val="28"/>
        </w:rPr>
        <w:t>月</w:t>
      </w:r>
      <w:r>
        <w:rPr>
          <w:rFonts w:asciiTheme="minorEastAsia" w:eastAsiaTheme="minorEastAsia" w:hAnsiTheme="minorEastAsia" w:hint="eastAsia"/>
          <w:b/>
          <w:sz w:val="24"/>
          <w:szCs w:val="28"/>
        </w:rPr>
        <w:t xml:space="preserve">    </w:t>
      </w:r>
      <w:r>
        <w:rPr>
          <w:rFonts w:asciiTheme="minorEastAsia" w:eastAsiaTheme="minorEastAsia" w:hAnsiTheme="minorEastAsia" w:hint="eastAsia"/>
          <w:b/>
          <w:sz w:val="24"/>
          <w:szCs w:val="28"/>
        </w:rPr>
        <w:t>日</w:t>
      </w:r>
    </w:p>
    <w:p w:rsidR="006109AE" w:rsidRDefault="006109AE">
      <w:pPr>
        <w:pStyle w:val="af2"/>
        <w:tabs>
          <w:tab w:val="clear" w:pos="8844"/>
          <w:tab w:val="right" w:pos="8528"/>
        </w:tabs>
        <w:spacing w:line="360" w:lineRule="auto"/>
        <w:ind w:rightChars="-297" w:right="-624"/>
        <w:rPr>
          <w:rFonts w:asciiTheme="minorEastAsia" w:eastAsiaTheme="minorEastAsia" w:hAnsiTheme="minorEastAsia"/>
          <w:sz w:val="28"/>
          <w:szCs w:val="28"/>
        </w:rPr>
      </w:pPr>
    </w:p>
    <w:sectPr w:rsidR="006109AE">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7E" w:rsidRDefault="00754B7E">
      <w:r>
        <w:separator/>
      </w:r>
    </w:p>
  </w:endnote>
  <w:endnote w:type="continuationSeparator" w:id="0">
    <w:p w:rsidR="00754B7E" w:rsidRDefault="0075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9AE" w:rsidRDefault="00754B7E">
    <w:pPr>
      <w:pStyle w:val="a8"/>
      <w:jc w:val="center"/>
    </w:pPr>
    <w:sdt>
      <w:sdtPr>
        <w:id w:val="1679080313"/>
        <w:docPartObj>
          <w:docPartGallery w:val="AutoText"/>
        </w:docPartObj>
      </w:sdtPr>
      <w:sdtEndPr/>
      <w:sdtContent>
        <w:r>
          <w:fldChar w:fldCharType="begin"/>
        </w:r>
        <w:r>
          <w:instrText>PAGE   \* MERGEFORMAT</w:instrText>
        </w:r>
        <w:r>
          <w:fldChar w:fldCharType="separate"/>
        </w:r>
        <w:r w:rsidR="00CA3606" w:rsidRPr="00CA3606">
          <w:rPr>
            <w:noProof/>
            <w:lang w:val="zh-CN"/>
          </w:rPr>
          <w:t>37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9AE" w:rsidRDefault="006109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7E" w:rsidRDefault="00754B7E">
      <w:r>
        <w:separator/>
      </w:r>
    </w:p>
  </w:footnote>
  <w:footnote w:type="continuationSeparator" w:id="0">
    <w:p w:rsidR="00754B7E" w:rsidRDefault="00754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9AE" w:rsidRDefault="00754B7E">
    <w:pPr>
      <w:pStyle w:val="a9"/>
      <w:jc w:val="left"/>
    </w:pPr>
    <w:r>
      <w:t>中航创新驱动股票型证券投资基金</w:t>
    </w:r>
    <w:r>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9AE" w:rsidRDefault="006109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E6F1A"/>
    <w:multiLevelType w:val="multilevel"/>
    <w:tmpl w:val="40CE6F1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E6"/>
    <w:rsid w:val="00005625"/>
    <w:rsid w:val="00026C5E"/>
    <w:rsid w:val="0003004F"/>
    <w:rsid w:val="00050615"/>
    <w:rsid w:val="000662B1"/>
    <w:rsid w:val="00082991"/>
    <w:rsid w:val="000875F1"/>
    <w:rsid w:val="000B7747"/>
    <w:rsid w:val="000C2F62"/>
    <w:rsid w:val="000E25A8"/>
    <w:rsid w:val="000F0BE5"/>
    <w:rsid w:val="000F7710"/>
    <w:rsid w:val="00145BD9"/>
    <w:rsid w:val="00150219"/>
    <w:rsid w:val="00174A42"/>
    <w:rsid w:val="001A3115"/>
    <w:rsid w:val="001E44E5"/>
    <w:rsid w:val="00201205"/>
    <w:rsid w:val="00202B51"/>
    <w:rsid w:val="00207A98"/>
    <w:rsid w:val="002126F9"/>
    <w:rsid w:val="0023294B"/>
    <w:rsid w:val="002434BD"/>
    <w:rsid w:val="00255889"/>
    <w:rsid w:val="00271ACB"/>
    <w:rsid w:val="002A6BB1"/>
    <w:rsid w:val="002B1606"/>
    <w:rsid w:val="002D0A6E"/>
    <w:rsid w:val="002E6DEA"/>
    <w:rsid w:val="002F19AA"/>
    <w:rsid w:val="00317BFB"/>
    <w:rsid w:val="0034361F"/>
    <w:rsid w:val="003460AD"/>
    <w:rsid w:val="00353ED0"/>
    <w:rsid w:val="00361AA1"/>
    <w:rsid w:val="00374F6F"/>
    <w:rsid w:val="003966FF"/>
    <w:rsid w:val="003B103D"/>
    <w:rsid w:val="003C2402"/>
    <w:rsid w:val="003F3F83"/>
    <w:rsid w:val="003F5455"/>
    <w:rsid w:val="00415F15"/>
    <w:rsid w:val="004342A3"/>
    <w:rsid w:val="00435E29"/>
    <w:rsid w:val="00484938"/>
    <w:rsid w:val="0049723F"/>
    <w:rsid w:val="004C31AA"/>
    <w:rsid w:val="004E1910"/>
    <w:rsid w:val="00505D01"/>
    <w:rsid w:val="00537211"/>
    <w:rsid w:val="00555BB0"/>
    <w:rsid w:val="00562EB7"/>
    <w:rsid w:val="005815B5"/>
    <w:rsid w:val="00596B2D"/>
    <w:rsid w:val="005A355F"/>
    <w:rsid w:val="005C34F8"/>
    <w:rsid w:val="005F4941"/>
    <w:rsid w:val="006040D1"/>
    <w:rsid w:val="00604B61"/>
    <w:rsid w:val="006109AE"/>
    <w:rsid w:val="006476C6"/>
    <w:rsid w:val="00651908"/>
    <w:rsid w:val="006530BD"/>
    <w:rsid w:val="00667828"/>
    <w:rsid w:val="00672A04"/>
    <w:rsid w:val="006E2A77"/>
    <w:rsid w:val="006F3BA5"/>
    <w:rsid w:val="006F5D74"/>
    <w:rsid w:val="00754B7E"/>
    <w:rsid w:val="00755FB1"/>
    <w:rsid w:val="00761425"/>
    <w:rsid w:val="007676C8"/>
    <w:rsid w:val="00780796"/>
    <w:rsid w:val="0078796A"/>
    <w:rsid w:val="00827384"/>
    <w:rsid w:val="00844878"/>
    <w:rsid w:val="008537AE"/>
    <w:rsid w:val="00853A4B"/>
    <w:rsid w:val="00885271"/>
    <w:rsid w:val="008A09A6"/>
    <w:rsid w:val="008C3318"/>
    <w:rsid w:val="008D16C9"/>
    <w:rsid w:val="008D5FBB"/>
    <w:rsid w:val="00917E3D"/>
    <w:rsid w:val="0092516E"/>
    <w:rsid w:val="00932A8F"/>
    <w:rsid w:val="00967A62"/>
    <w:rsid w:val="009E54B0"/>
    <w:rsid w:val="009F3EB3"/>
    <w:rsid w:val="00A15301"/>
    <w:rsid w:val="00A2718A"/>
    <w:rsid w:val="00A551F1"/>
    <w:rsid w:val="00A969E6"/>
    <w:rsid w:val="00A97D50"/>
    <w:rsid w:val="00AA3E5A"/>
    <w:rsid w:val="00AF2A99"/>
    <w:rsid w:val="00AF2D39"/>
    <w:rsid w:val="00AF2E7A"/>
    <w:rsid w:val="00B03B86"/>
    <w:rsid w:val="00B0641F"/>
    <w:rsid w:val="00B115A6"/>
    <w:rsid w:val="00B53654"/>
    <w:rsid w:val="00B811F8"/>
    <w:rsid w:val="00B86C6B"/>
    <w:rsid w:val="00BA12FD"/>
    <w:rsid w:val="00BB09F1"/>
    <w:rsid w:val="00BB4A84"/>
    <w:rsid w:val="00BD4184"/>
    <w:rsid w:val="00BF543F"/>
    <w:rsid w:val="00C16D1E"/>
    <w:rsid w:val="00C20803"/>
    <w:rsid w:val="00C30726"/>
    <w:rsid w:val="00C34C3F"/>
    <w:rsid w:val="00C56FE5"/>
    <w:rsid w:val="00C7799E"/>
    <w:rsid w:val="00C81CD6"/>
    <w:rsid w:val="00C95AD5"/>
    <w:rsid w:val="00C9675E"/>
    <w:rsid w:val="00C96DA0"/>
    <w:rsid w:val="00CA3606"/>
    <w:rsid w:val="00CB2BC5"/>
    <w:rsid w:val="00CE0FF0"/>
    <w:rsid w:val="00CF73F3"/>
    <w:rsid w:val="00D102FD"/>
    <w:rsid w:val="00D21A7F"/>
    <w:rsid w:val="00D44CE4"/>
    <w:rsid w:val="00D74252"/>
    <w:rsid w:val="00D86627"/>
    <w:rsid w:val="00DA6B47"/>
    <w:rsid w:val="00DA70F3"/>
    <w:rsid w:val="00DC42CD"/>
    <w:rsid w:val="00DC62AE"/>
    <w:rsid w:val="00DD4C8A"/>
    <w:rsid w:val="00DE5401"/>
    <w:rsid w:val="00E3059B"/>
    <w:rsid w:val="00E305F8"/>
    <w:rsid w:val="00E41FC3"/>
    <w:rsid w:val="00E6206D"/>
    <w:rsid w:val="00E77832"/>
    <w:rsid w:val="00E95394"/>
    <w:rsid w:val="00EA7B8B"/>
    <w:rsid w:val="00EB7888"/>
    <w:rsid w:val="00EB7B4F"/>
    <w:rsid w:val="00EC6AE6"/>
    <w:rsid w:val="00ED6276"/>
    <w:rsid w:val="00EE5E71"/>
    <w:rsid w:val="00F353EC"/>
    <w:rsid w:val="00F416F1"/>
    <w:rsid w:val="00F705AD"/>
    <w:rsid w:val="00FA1AA6"/>
    <w:rsid w:val="00FA2B0E"/>
    <w:rsid w:val="00FA3D5A"/>
    <w:rsid w:val="00FB19E8"/>
    <w:rsid w:val="00FB2216"/>
    <w:rsid w:val="35E7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FA48B5-24A3-4A11-8166-7FDC8428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uiPriority="0" w:qFormat="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
    <w:qFormat/>
    <w:pPr>
      <w:jc w:val="left"/>
    </w:pPr>
  </w:style>
  <w:style w:type="paragraph" w:styleId="a5">
    <w:name w:val="Body Text"/>
    <w:basedOn w:val="a"/>
    <w:link w:val="Char0"/>
    <w:qFormat/>
    <w:pPr>
      <w:spacing w:line="360" w:lineRule="auto"/>
    </w:pPr>
    <w:rPr>
      <w:rFonts w:ascii="仿宋_GB2312" w:eastAsia="仿宋_GB2312"/>
      <w:color w:val="000000"/>
      <w:kern w:val="0"/>
      <w:sz w:val="24"/>
      <w:szCs w:val="28"/>
    </w:rPr>
  </w:style>
  <w:style w:type="paragraph" w:styleId="a6">
    <w:name w:val="Body Text Indent"/>
    <w:basedOn w:val="a"/>
    <w:link w:val="Char1"/>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pPr>
      <w:spacing w:line="360" w:lineRule="auto"/>
      <w:ind w:firstLine="525"/>
    </w:pPr>
    <w:rPr>
      <w:rFonts w:ascii="宋体" w:hAnsi="宋体"/>
      <w:sz w:val="28"/>
      <w:szCs w:val="20"/>
    </w:rPr>
  </w:style>
  <w:style w:type="paragraph" w:styleId="a7">
    <w:name w:val="Balloon Text"/>
    <w:basedOn w:val="a"/>
    <w:link w:val="Char2"/>
    <w:semiHidden/>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link w:val="3Char0"/>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rPr>
      <w:b/>
      <w:bCs/>
    </w:rPr>
  </w:style>
  <w:style w:type="character" w:styleId="ac">
    <w:name w:val="Strong"/>
    <w:qFormat/>
    <w:rPr>
      <w:b/>
      <w:bCs/>
    </w:rPr>
  </w:style>
  <w:style w:type="character" w:styleId="ad">
    <w:name w:val="page number"/>
    <w:basedOn w:val="a1"/>
    <w:qFormat/>
  </w:style>
  <w:style w:type="character" w:styleId="ae">
    <w:name w:val="FollowedHyperlink"/>
    <w:uiPriority w:val="99"/>
    <w:semiHidden/>
    <w:unhideWhenUsed/>
    <w:rPr>
      <w:color w:val="800080"/>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Char4">
    <w:name w:val="页眉 Char"/>
    <w:basedOn w:val="a1"/>
    <w:link w:val="a9"/>
    <w:uiPriority w:val="99"/>
    <w:rPr>
      <w:rFonts w:ascii="Times New Roman" w:eastAsia="宋体" w:hAnsi="Times New Roman" w:cs="Times New Roman"/>
      <w:sz w:val="18"/>
      <w:szCs w:val="18"/>
    </w:rPr>
  </w:style>
  <w:style w:type="character" w:customStyle="1" w:styleId="Char3">
    <w:name w:val="页脚 Char"/>
    <w:basedOn w:val="a1"/>
    <w:link w:val="a8"/>
    <w:uiPriority w:val="99"/>
    <w:rPr>
      <w:rFonts w:ascii="Times New Roman" w:eastAsia="宋体" w:hAnsi="Times New Roman" w:cs="Times New Roman"/>
      <w:sz w:val="18"/>
      <w:szCs w:val="18"/>
    </w:rPr>
  </w:style>
  <w:style w:type="paragraph" w:customStyle="1" w:styleId="af1">
    <w:name w:val="文件名称"/>
    <w:basedOn w:val="a"/>
    <w:qFormat/>
    <w:pPr>
      <w:jc w:val="center"/>
    </w:pPr>
    <w:rPr>
      <w:rFonts w:ascii="方正小标宋简体" w:eastAsia="方正小标宋简体" w:cs="方正小标宋简体"/>
      <w:color w:val="FF0000"/>
      <w:spacing w:val="28"/>
      <w:w w:val="75"/>
      <w:kern w:val="0"/>
      <w:sz w:val="90"/>
      <w:szCs w:val="90"/>
    </w:rPr>
  </w:style>
  <w:style w:type="paragraph" w:customStyle="1" w:styleId="af2">
    <w:name w:val="底座"/>
    <w:basedOn w:val="a"/>
    <w:qFormat/>
    <w:pPr>
      <w:tabs>
        <w:tab w:val="right" w:pos="8844"/>
      </w:tabs>
      <w:ind w:rightChars="100" w:right="100"/>
      <w:jc w:val="left"/>
    </w:pPr>
    <w:rPr>
      <w:rFonts w:eastAsia="仿宋_GB2312"/>
      <w:sz w:val="32"/>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1">
    <w:name w:val="正文文本缩进 Char"/>
    <w:basedOn w:val="a1"/>
    <w:link w:val="a6"/>
    <w:rPr>
      <w:rFonts w:ascii="Times New Roman" w:eastAsia="方正仿宋简体" w:hAnsi="Times New Roman" w:cs="Times New Roman"/>
      <w:sz w:val="24"/>
      <w:szCs w:val="30"/>
    </w:rPr>
  </w:style>
  <w:style w:type="character" w:customStyle="1" w:styleId="2Char0">
    <w:name w:val="正文文本缩进 2 Char"/>
    <w:basedOn w:val="a1"/>
    <w:link w:val="20"/>
    <w:rPr>
      <w:rFonts w:ascii="宋体" w:eastAsia="宋体" w:hAnsi="宋体" w:cs="Times New Roman"/>
      <w:sz w:val="28"/>
      <w:szCs w:val="20"/>
    </w:rPr>
  </w:style>
  <w:style w:type="character" w:customStyle="1" w:styleId="3Char0">
    <w:name w:val="正文文本缩进 3 Char"/>
    <w:basedOn w:val="a1"/>
    <w:link w:val="31"/>
    <w:qFormat/>
    <w:rPr>
      <w:rFonts w:ascii="仿宋_GB2312" w:eastAsia="仿宋_GB2312" w:hAnsi="宋体" w:cs="Arial"/>
      <w:color w:val="000000"/>
      <w:sz w:val="24"/>
      <w:szCs w:val="24"/>
    </w:rPr>
  </w:style>
  <w:style w:type="character" w:customStyle="1" w:styleId="Char2">
    <w:name w:val="批注框文本 Char"/>
    <w:basedOn w:val="a1"/>
    <w:link w:val="a7"/>
    <w:semiHidden/>
    <w:rPr>
      <w:rFonts w:ascii="Times New Roman" w:eastAsia="宋体" w:hAnsi="Times New Roman" w:cs="Times New Roman"/>
      <w:sz w:val="18"/>
      <w:szCs w:val="18"/>
    </w:rPr>
  </w:style>
  <w:style w:type="paragraph" w:customStyle="1" w:styleId="Char6">
    <w:name w:val="Char"/>
    <w:basedOn w:val="a"/>
  </w:style>
  <w:style w:type="paragraph" w:customStyle="1" w:styleId="Char10">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Char">
    <w:name w:val="批注文字 Char"/>
    <w:basedOn w:val="a1"/>
    <w:link w:val="a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5">
    <w:name w:val="批注主题 Char"/>
    <w:basedOn w:val="Char"/>
    <w:link w:val="ab"/>
    <w:qFormat/>
    <w:rPr>
      <w:rFonts w:ascii="Times New Roman" w:eastAsia="宋体" w:hAnsi="Times New Roman" w:cs="Times New Roman"/>
      <w:b/>
      <w:bCs/>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3Char">
    <w:name w:val="标题 3 Char"/>
    <w:basedOn w:val="a1"/>
    <w:link w:val="3"/>
    <w:uiPriority w:val="9"/>
    <w:semiHidden/>
    <w:rPr>
      <w:rFonts w:ascii="Times New Roman" w:eastAsia="宋体" w:hAnsi="Times New Roman" w:cs="Times New Roman"/>
      <w:b/>
      <w:bCs/>
      <w:sz w:val="32"/>
      <w:szCs w:val="32"/>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98EF3-2AB5-4FB2-989C-ACB016AE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4619</Words>
  <Characters>26333</Characters>
  <Application>Microsoft Office Word</Application>
  <DocSecurity>0</DocSecurity>
  <Lines>219</Lines>
  <Paragraphs>61</Paragraphs>
  <ScaleCrop>false</ScaleCrop>
  <Company>Microsoft</Company>
  <LinksUpToDate>false</LinksUpToDate>
  <CharactersWithSpaces>30891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辛超</dc:creator>
  <cp:lastModifiedBy>蒋莹</cp:lastModifiedBy>
  <cp:revision>17</cp:revision>
  <cp:lastPrinted>2019-03-28T06:14:00Z</cp:lastPrinted>
  <dcterms:created xsi:type="dcterms:W3CDTF">2017-10-18T07:41:00Z</dcterms:created>
  <dcterms:modified xsi:type="dcterms:W3CDTF">2019-09-26T05:17:00Z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