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3BC" w:rsidRPr="00372638" w:rsidRDefault="00B333BC" w:rsidP="00B333BC">
      <w:pPr>
        <w:adjustRightInd w:val="0"/>
        <w:snapToGrid w:val="0"/>
        <w:jc w:val="center"/>
        <w:rPr>
          <w:rFonts w:asciiTheme="minorEastAsia" w:hAnsiTheme="minorEastAsia" w:cs="Arial"/>
          <w:sz w:val="24"/>
          <w:szCs w:val="24"/>
        </w:rPr>
      </w:pPr>
    </w:p>
    <w:p w:rsidR="00B333BC" w:rsidRPr="00372638" w:rsidRDefault="00B333BC" w:rsidP="00B333BC">
      <w:pPr>
        <w:adjustRightInd w:val="0"/>
        <w:snapToGrid w:val="0"/>
        <w:jc w:val="center"/>
        <w:rPr>
          <w:rFonts w:asciiTheme="minorEastAsia" w:hAnsiTheme="minorEastAsia" w:cs="Arial"/>
          <w:sz w:val="24"/>
          <w:szCs w:val="24"/>
        </w:rPr>
      </w:pPr>
    </w:p>
    <w:p w:rsidR="00B333BC" w:rsidRPr="00372638" w:rsidRDefault="00B333BC" w:rsidP="00B333BC">
      <w:pPr>
        <w:adjustRightInd w:val="0"/>
        <w:snapToGrid w:val="0"/>
        <w:jc w:val="center"/>
        <w:rPr>
          <w:rFonts w:asciiTheme="minorEastAsia" w:hAnsiTheme="minorEastAsia" w:cs="Arial"/>
          <w:sz w:val="24"/>
          <w:szCs w:val="24"/>
        </w:rPr>
      </w:pPr>
    </w:p>
    <w:p w:rsidR="00B333BC" w:rsidRPr="00372638" w:rsidRDefault="00B333BC" w:rsidP="00B333BC">
      <w:pPr>
        <w:adjustRightInd w:val="0"/>
        <w:snapToGrid w:val="0"/>
        <w:jc w:val="center"/>
        <w:rPr>
          <w:rFonts w:asciiTheme="minorEastAsia" w:hAnsiTheme="minorEastAsia" w:cs="Arial"/>
          <w:sz w:val="24"/>
          <w:szCs w:val="24"/>
        </w:rPr>
      </w:pPr>
    </w:p>
    <w:p w:rsidR="00B333BC" w:rsidRPr="00372638" w:rsidRDefault="00B333BC" w:rsidP="00B333BC">
      <w:pPr>
        <w:adjustRightInd w:val="0"/>
        <w:snapToGrid w:val="0"/>
        <w:jc w:val="center"/>
        <w:rPr>
          <w:rFonts w:asciiTheme="minorEastAsia" w:hAnsiTheme="minorEastAsia" w:cs="Arial"/>
          <w:sz w:val="24"/>
          <w:szCs w:val="24"/>
        </w:rPr>
      </w:pPr>
    </w:p>
    <w:p w:rsidR="00B333BC" w:rsidRPr="00372638" w:rsidRDefault="00B333BC" w:rsidP="00B333BC">
      <w:pPr>
        <w:adjustRightInd w:val="0"/>
        <w:snapToGrid w:val="0"/>
        <w:jc w:val="center"/>
        <w:rPr>
          <w:rFonts w:asciiTheme="minorEastAsia" w:hAnsiTheme="minorEastAsia" w:cs="Arial"/>
          <w:sz w:val="24"/>
          <w:szCs w:val="24"/>
        </w:rPr>
      </w:pPr>
    </w:p>
    <w:p w:rsidR="00B333BC" w:rsidRPr="00372638" w:rsidRDefault="00B333BC" w:rsidP="00B333BC">
      <w:pPr>
        <w:adjustRightInd w:val="0"/>
        <w:snapToGrid w:val="0"/>
        <w:jc w:val="center"/>
        <w:rPr>
          <w:rFonts w:asciiTheme="minorEastAsia" w:hAnsiTheme="minorEastAsia" w:cs="Arial"/>
          <w:sz w:val="24"/>
          <w:szCs w:val="24"/>
        </w:rPr>
      </w:pPr>
    </w:p>
    <w:p w:rsidR="00B333BC" w:rsidRPr="00372638" w:rsidRDefault="00B333BC" w:rsidP="00B333BC">
      <w:pPr>
        <w:adjustRightInd w:val="0"/>
        <w:snapToGrid w:val="0"/>
        <w:jc w:val="center"/>
        <w:rPr>
          <w:rFonts w:asciiTheme="minorEastAsia" w:hAnsiTheme="minorEastAsia" w:cs="Arial"/>
          <w:sz w:val="24"/>
          <w:szCs w:val="24"/>
        </w:rPr>
      </w:pPr>
    </w:p>
    <w:p w:rsidR="00C71947" w:rsidRPr="00372638" w:rsidRDefault="00C71947" w:rsidP="00B333BC">
      <w:pPr>
        <w:adjustRightInd w:val="0"/>
        <w:snapToGrid w:val="0"/>
        <w:jc w:val="center"/>
        <w:rPr>
          <w:rFonts w:asciiTheme="minorEastAsia" w:hAnsiTheme="minorEastAsia" w:cs="Arial"/>
          <w:b/>
          <w:sz w:val="44"/>
          <w:szCs w:val="24"/>
        </w:rPr>
      </w:pPr>
      <w:proofErr w:type="gramStart"/>
      <w:r w:rsidRPr="00372638">
        <w:rPr>
          <w:rFonts w:asciiTheme="minorEastAsia" w:hAnsiTheme="minorEastAsia" w:cs="Arial" w:hint="eastAsia"/>
          <w:b/>
          <w:sz w:val="44"/>
          <w:szCs w:val="24"/>
        </w:rPr>
        <w:t>汇添富</w:t>
      </w:r>
      <w:proofErr w:type="gramEnd"/>
      <w:r w:rsidRPr="00372638">
        <w:rPr>
          <w:rFonts w:asciiTheme="minorEastAsia" w:hAnsiTheme="minorEastAsia" w:cs="Arial" w:hint="eastAsia"/>
          <w:b/>
          <w:sz w:val="44"/>
          <w:szCs w:val="24"/>
        </w:rPr>
        <w:t>养老目标日期2030三年持有期</w:t>
      </w:r>
    </w:p>
    <w:p w:rsidR="00B333BC" w:rsidRPr="00372638" w:rsidRDefault="00C71947" w:rsidP="00B333BC">
      <w:pPr>
        <w:adjustRightInd w:val="0"/>
        <w:snapToGrid w:val="0"/>
        <w:jc w:val="center"/>
        <w:rPr>
          <w:rFonts w:asciiTheme="minorEastAsia" w:hAnsiTheme="minorEastAsia" w:cs="Arial"/>
          <w:b/>
          <w:sz w:val="44"/>
          <w:szCs w:val="24"/>
        </w:rPr>
      </w:pPr>
      <w:r w:rsidRPr="00372638">
        <w:rPr>
          <w:rFonts w:asciiTheme="minorEastAsia" w:hAnsiTheme="minorEastAsia" w:cs="Arial" w:hint="eastAsia"/>
          <w:b/>
          <w:sz w:val="44"/>
          <w:szCs w:val="24"/>
        </w:rPr>
        <w:t>混合型基金中基金（FOF）</w:t>
      </w:r>
    </w:p>
    <w:p w:rsidR="00B333BC" w:rsidRPr="00372638" w:rsidRDefault="00B333BC" w:rsidP="00B333BC">
      <w:pPr>
        <w:adjustRightInd w:val="0"/>
        <w:snapToGrid w:val="0"/>
        <w:jc w:val="center"/>
        <w:rPr>
          <w:rFonts w:asciiTheme="minorEastAsia" w:hAnsiTheme="minorEastAsia" w:cs="Arial"/>
          <w:b/>
          <w:sz w:val="44"/>
          <w:szCs w:val="24"/>
        </w:rPr>
      </w:pPr>
      <w:r w:rsidRPr="00372638">
        <w:rPr>
          <w:rFonts w:asciiTheme="minorEastAsia" w:hAnsiTheme="minorEastAsia" w:cs="Arial" w:hint="eastAsia"/>
          <w:b/>
          <w:sz w:val="44"/>
          <w:szCs w:val="24"/>
        </w:rPr>
        <w:t>托管协议</w:t>
      </w:r>
    </w:p>
    <w:p w:rsidR="00B333BC" w:rsidRPr="00372638" w:rsidRDefault="00B333BC" w:rsidP="00B333BC">
      <w:pPr>
        <w:adjustRightInd w:val="0"/>
        <w:snapToGrid w:val="0"/>
        <w:jc w:val="center"/>
        <w:outlineLvl w:val="0"/>
        <w:rPr>
          <w:rFonts w:asciiTheme="minorEastAsia" w:hAnsiTheme="minorEastAsia" w:cs="Arial"/>
          <w:sz w:val="24"/>
          <w:szCs w:val="24"/>
        </w:rPr>
      </w:pPr>
    </w:p>
    <w:p w:rsidR="00B333BC" w:rsidRDefault="00B333BC" w:rsidP="00B333BC">
      <w:pPr>
        <w:adjustRightInd w:val="0"/>
        <w:snapToGrid w:val="0"/>
        <w:jc w:val="center"/>
        <w:outlineLvl w:val="0"/>
        <w:rPr>
          <w:rFonts w:asciiTheme="minorEastAsia" w:hAnsiTheme="minorEastAsia" w:cs="Arial"/>
          <w:sz w:val="24"/>
          <w:szCs w:val="24"/>
        </w:rPr>
      </w:pPr>
    </w:p>
    <w:p w:rsidR="00372638" w:rsidRDefault="00372638" w:rsidP="00B333BC">
      <w:pPr>
        <w:adjustRightInd w:val="0"/>
        <w:snapToGrid w:val="0"/>
        <w:jc w:val="center"/>
        <w:outlineLvl w:val="0"/>
        <w:rPr>
          <w:rFonts w:asciiTheme="minorEastAsia" w:hAnsiTheme="minorEastAsia" w:cs="Arial"/>
          <w:sz w:val="24"/>
          <w:szCs w:val="24"/>
        </w:rPr>
      </w:pPr>
    </w:p>
    <w:p w:rsidR="00372638" w:rsidRDefault="00372638" w:rsidP="00B333BC">
      <w:pPr>
        <w:adjustRightInd w:val="0"/>
        <w:snapToGrid w:val="0"/>
        <w:jc w:val="center"/>
        <w:outlineLvl w:val="0"/>
        <w:rPr>
          <w:rFonts w:asciiTheme="minorEastAsia" w:hAnsiTheme="minorEastAsia" w:cs="Arial"/>
          <w:sz w:val="24"/>
          <w:szCs w:val="24"/>
        </w:rPr>
      </w:pPr>
    </w:p>
    <w:p w:rsidR="00372638" w:rsidRPr="00372638" w:rsidRDefault="00372638" w:rsidP="00B333BC">
      <w:pPr>
        <w:adjustRightInd w:val="0"/>
        <w:snapToGrid w:val="0"/>
        <w:jc w:val="center"/>
        <w:outlineLvl w:val="0"/>
        <w:rPr>
          <w:rFonts w:asciiTheme="minorEastAsia" w:hAnsiTheme="minorEastAsia" w:cs="Arial" w:hint="eastAsia"/>
          <w:sz w:val="24"/>
          <w:szCs w:val="24"/>
        </w:rPr>
      </w:pPr>
    </w:p>
    <w:p w:rsidR="00B333BC" w:rsidRPr="00372638" w:rsidRDefault="00B333BC" w:rsidP="00B333BC">
      <w:pPr>
        <w:adjustRightInd w:val="0"/>
        <w:snapToGrid w:val="0"/>
        <w:jc w:val="center"/>
        <w:outlineLvl w:val="0"/>
        <w:rPr>
          <w:rFonts w:asciiTheme="minorEastAsia" w:hAnsiTheme="minorEastAsia" w:cs="Arial" w:hint="eastAsia"/>
          <w:sz w:val="24"/>
          <w:szCs w:val="24"/>
        </w:rPr>
      </w:pPr>
    </w:p>
    <w:p w:rsidR="00B333BC" w:rsidRPr="00372638" w:rsidRDefault="00B333BC" w:rsidP="00B333BC">
      <w:pPr>
        <w:adjustRightInd w:val="0"/>
        <w:snapToGrid w:val="0"/>
        <w:jc w:val="center"/>
        <w:outlineLvl w:val="0"/>
        <w:rPr>
          <w:rFonts w:asciiTheme="minorEastAsia" w:hAnsiTheme="minorEastAsia" w:cs="Arial"/>
          <w:sz w:val="24"/>
          <w:szCs w:val="24"/>
        </w:rPr>
      </w:pPr>
    </w:p>
    <w:p w:rsidR="00B333BC" w:rsidRPr="00372638" w:rsidRDefault="00B333BC" w:rsidP="00B333BC">
      <w:pPr>
        <w:adjustRightInd w:val="0"/>
        <w:snapToGrid w:val="0"/>
        <w:jc w:val="center"/>
        <w:outlineLvl w:val="0"/>
        <w:rPr>
          <w:rFonts w:asciiTheme="minorEastAsia" w:hAnsiTheme="minorEastAsia" w:cs="Arial"/>
          <w:sz w:val="24"/>
          <w:szCs w:val="24"/>
        </w:rPr>
      </w:pPr>
    </w:p>
    <w:p w:rsidR="00B333BC" w:rsidRPr="00372638" w:rsidRDefault="00B333BC" w:rsidP="00B333BC">
      <w:pPr>
        <w:adjustRightInd w:val="0"/>
        <w:snapToGrid w:val="0"/>
        <w:jc w:val="center"/>
        <w:outlineLvl w:val="0"/>
        <w:rPr>
          <w:rFonts w:asciiTheme="minorEastAsia" w:hAnsiTheme="minorEastAsia" w:cs="Arial"/>
          <w:sz w:val="24"/>
          <w:szCs w:val="24"/>
        </w:rPr>
      </w:pPr>
    </w:p>
    <w:p w:rsidR="00B333BC" w:rsidRPr="00372638" w:rsidRDefault="00B333BC" w:rsidP="00B333BC">
      <w:pPr>
        <w:adjustRightInd w:val="0"/>
        <w:snapToGrid w:val="0"/>
        <w:jc w:val="center"/>
        <w:outlineLvl w:val="0"/>
        <w:rPr>
          <w:rFonts w:asciiTheme="minorEastAsia" w:hAnsiTheme="minorEastAsia" w:cs="Arial"/>
          <w:sz w:val="24"/>
          <w:szCs w:val="24"/>
        </w:rPr>
      </w:pPr>
    </w:p>
    <w:p w:rsidR="00B333BC" w:rsidRPr="00372638" w:rsidRDefault="00B333BC" w:rsidP="00B333BC">
      <w:pPr>
        <w:adjustRightInd w:val="0"/>
        <w:snapToGrid w:val="0"/>
        <w:jc w:val="center"/>
        <w:outlineLvl w:val="0"/>
        <w:rPr>
          <w:rFonts w:asciiTheme="minorEastAsia" w:hAnsiTheme="minorEastAsia" w:cs="Arial"/>
          <w:sz w:val="24"/>
          <w:szCs w:val="24"/>
        </w:rPr>
      </w:pPr>
    </w:p>
    <w:p w:rsidR="00B333BC" w:rsidRPr="00372638" w:rsidRDefault="00B333BC" w:rsidP="00372638">
      <w:pPr>
        <w:adjustRightInd w:val="0"/>
        <w:snapToGrid w:val="0"/>
        <w:spacing w:line="360" w:lineRule="auto"/>
        <w:jc w:val="center"/>
        <w:outlineLvl w:val="0"/>
        <w:rPr>
          <w:rFonts w:asciiTheme="minorEastAsia" w:hAnsiTheme="minorEastAsia" w:cs="Arial"/>
          <w:b/>
          <w:bCs/>
          <w:sz w:val="32"/>
          <w:szCs w:val="32"/>
        </w:rPr>
      </w:pPr>
      <w:r w:rsidRPr="00372638">
        <w:rPr>
          <w:rFonts w:asciiTheme="minorEastAsia" w:hAnsiTheme="minorEastAsia" w:cs="Arial" w:hint="eastAsia"/>
          <w:b/>
          <w:bCs/>
          <w:sz w:val="32"/>
          <w:szCs w:val="32"/>
        </w:rPr>
        <w:t>基金管理人：</w:t>
      </w:r>
      <w:proofErr w:type="gramStart"/>
      <w:r w:rsidRPr="00372638">
        <w:rPr>
          <w:rFonts w:asciiTheme="minorEastAsia" w:hAnsiTheme="minorEastAsia" w:cs="Arial" w:hint="eastAsia"/>
          <w:b/>
          <w:bCs/>
          <w:sz w:val="32"/>
          <w:szCs w:val="32"/>
        </w:rPr>
        <w:t>汇添富基金</w:t>
      </w:r>
      <w:proofErr w:type="gramEnd"/>
      <w:r w:rsidRPr="00372638">
        <w:rPr>
          <w:rFonts w:asciiTheme="minorEastAsia" w:hAnsiTheme="minorEastAsia" w:cs="Arial" w:hint="eastAsia"/>
          <w:b/>
          <w:bCs/>
          <w:sz w:val="32"/>
          <w:szCs w:val="32"/>
        </w:rPr>
        <w:t>管理股份有限公司</w:t>
      </w:r>
    </w:p>
    <w:p w:rsidR="00B333BC" w:rsidRPr="00372638" w:rsidRDefault="00B333BC" w:rsidP="00372638">
      <w:pPr>
        <w:adjustRightInd w:val="0"/>
        <w:snapToGrid w:val="0"/>
        <w:spacing w:line="360" w:lineRule="auto"/>
        <w:jc w:val="center"/>
        <w:outlineLvl w:val="0"/>
        <w:rPr>
          <w:rFonts w:asciiTheme="minorEastAsia" w:hAnsiTheme="minorEastAsia" w:cs="Arial"/>
          <w:b/>
          <w:bCs/>
          <w:sz w:val="28"/>
          <w:szCs w:val="24"/>
        </w:rPr>
      </w:pPr>
      <w:r w:rsidRPr="00372638">
        <w:rPr>
          <w:rFonts w:asciiTheme="minorEastAsia" w:hAnsiTheme="minorEastAsia" w:cs="Arial" w:hint="eastAsia"/>
          <w:b/>
          <w:bCs/>
          <w:sz w:val="32"/>
          <w:szCs w:val="32"/>
        </w:rPr>
        <w:t>基金托管人：中国建设银行股份有限公司</w:t>
      </w:r>
    </w:p>
    <w:p w:rsidR="00B333BC" w:rsidRPr="00372638" w:rsidRDefault="00B333BC" w:rsidP="00B333BC">
      <w:pPr>
        <w:adjustRightInd w:val="0"/>
        <w:snapToGrid w:val="0"/>
        <w:jc w:val="center"/>
        <w:outlineLvl w:val="0"/>
        <w:rPr>
          <w:rFonts w:asciiTheme="minorEastAsia" w:hAnsiTheme="minorEastAsia" w:cs="Arial"/>
          <w:sz w:val="24"/>
          <w:szCs w:val="24"/>
        </w:rPr>
      </w:pPr>
    </w:p>
    <w:p w:rsidR="00B333BC" w:rsidRPr="00372638" w:rsidRDefault="00B333BC" w:rsidP="00B333BC">
      <w:pPr>
        <w:adjustRightInd w:val="0"/>
        <w:snapToGrid w:val="0"/>
        <w:jc w:val="center"/>
        <w:outlineLvl w:val="0"/>
        <w:rPr>
          <w:rFonts w:asciiTheme="minorEastAsia" w:hAnsiTheme="minorEastAsia" w:cs="Arial"/>
          <w:sz w:val="24"/>
          <w:szCs w:val="24"/>
        </w:rPr>
      </w:pPr>
    </w:p>
    <w:p w:rsidR="00B333BC" w:rsidRPr="00372638" w:rsidRDefault="00B333BC" w:rsidP="00B333BC">
      <w:pPr>
        <w:adjustRightInd w:val="0"/>
        <w:snapToGrid w:val="0"/>
        <w:jc w:val="center"/>
        <w:outlineLvl w:val="0"/>
        <w:rPr>
          <w:rFonts w:asciiTheme="minorEastAsia" w:hAnsiTheme="minorEastAsia" w:cs="Arial"/>
          <w:sz w:val="24"/>
          <w:szCs w:val="24"/>
        </w:rPr>
      </w:pPr>
    </w:p>
    <w:p w:rsidR="00B333BC" w:rsidRPr="00372638" w:rsidRDefault="00B333BC" w:rsidP="00B333BC">
      <w:pPr>
        <w:adjustRightInd w:val="0"/>
        <w:snapToGrid w:val="0"/>
        <w:outlineLvl w:val="0"/>
        <w:rPr>
          <w:rFonts w:asciiTheme="minorEastAsia" w:hAnsiTheme="minorEastAsia" w:cs="Arial"/>
          <w:sz w:val="24"/>
          <w:szCs w:val="24"/>
        </w:rPr>
      </w:pPr>
      <w:r w:rsidRPr="00372638">
        <w:rPr>
          <w:rFonts w:asciiTheme="minorEastAsia" w:hAnsiTheme="minorEastAsia" w:cs="Arial" w:hint="eastAsia"/>
          <w:sz w:val="24"/>
          <w:szCs w:val="24"/>
        </w:rPr>
        <w:t xml:space="preserve">                          </w:t>
      </w:r>
    </w:p>
    <w:p w:rsidR="00B333BC" w:rsidRPr="00372638" w:rsidRDefault="00B333BC" w:rsidP="00B333BC">
      <w:pPr>
        <w:adjustRightInd w:val="0"/>
        <w:snapToGrid w:val="0"/>
        <w:jc w:val="center"/>
        <w:outlineLvl w:val="0"/>
        <w:rPr>
          <w:rFonts w:asciiTheme="minorEastAsia" w:hAnsiTheme="minorEastAsia" w:cs="Arial"/>
          <w:sz w:val="24"/>
          <w:szCs w:val="24"/>
        </w:rPr>
      </w:pPr>
    </w:p>
    <w:p w:rsidR="00B333BC" w:rsidRPr="00372638" w:rsidRDefault="00B333BC" w:rsidP="00B333BC">
      <w:pPr>
        <w:adjustRightInd w:val="0"/>
        <w:snapToGrid w:val="0"/>
        <w:jc w:val="center"/>
        <w:rPr>
          <w:rFonts w:asciiTheme="minorEastAsia" w:hAnsiTheme="minorEastAsia" w:cs="Arial"/>
          <w:bCs/>
          <w:sz w:val="24"/>
          <w:szCs w:val="24"/>
        </w:rPr>
      </w:pPr>
    </w:p>
    <w:p w:rsidR="00B333BC" w:rsidRPr="00372638" w:rsidRDefault="00B333BC" w:rsidP="00B333BC">
      <w:pPr>
        <w:adjustRightInd w:val="0"/>
        <w:snapToGrid w:val="0"/>
        <w:jc w:val="center"/>
        <w:rPr>
          <w:rFonts w:asciiTheme="minorEastAsia" w:hAnsiTheme="minorEastAsia" w:cs="Arial"/>
          <w:bCs/>
          <w:sz w:val="24"/>
          <w:szCs w:val="24"/>
        </w:rPr>
        <w:sectPr w:rsidR="00B333BC" w:rsidRPr="00372638">
          <w:footerReference w:type="even" r:id="rId8"/>
          <w:pgSz w:w="11906" w:h="16838" w:code="9"/>
          <w:pgMar w:top="1418" w:right="1701" w:bottom="1418" w:left="1701" w:header="851" w:footer="992" w:gutter="0"/>
          <w:cols w:space="425"/>
          <w:docGrid w:type="lines" w:linePitch="312"/>
        </w:sectPr>
      </w:pPr>
    </w:p>
    <w:p w:rsidR="00B333BC" w:rsidRPr="00372638" w:rsidRDefault="00B333BC" w:rsidP="00B333BC">
      <w:pPr>
        <w:adjustRightInd w:val="0"/>
        <w:snapToGrid w:val="0"/>
        <w:rPr>
          <w:rFonts w:asciiTheme="minorEastAsia" w:hAnsiTheme="minorEastAsia" w:cs="Arial"/>
          <w:bCs/>
          <w:sz w:val="24"/>
          <w:szCs w:val="24"/>
        </w:rPr>
      </w:pPr>
      <w:bookmarkStart w:id="0" w:name="_GoBack"/>
      <w:bookmarkEnd w:id="0"/>
    </w:p>
    <w:p w:rsidR="00B333BC" w:rsidRPr="00372638" w:rsidRDefault="00B333BC" w:rsidP="00B333BC">
      <w:pPr>
        <w:jc w:val="center"/>
        <w:rPr>
          <w:rFonts w:asciiTheme="minorEastAsia" w:hAnsiTheme="minorEastAsia" w:cs="Times New Roman"/>
          <w:b/>
          <w:bCs/>
          <w:sz w:val="30"/>
          <w:szCs w:val="24"/>
        </w:rPr>
      </w:pPr>
      <w:r w:rsidRPr="00372638">
        <w:rPr>
          <w:rFonts w:asciiTheme="minorEastAsia" w:hAnsiTheme="minorEastAsia" w:cs="Times New Roman" w:hint="eastAsia"/>
          <w:b/>
          <w:bCs/>
          <w:sz w:val="30"/>
          <w:szCs w:val="24"/>
        </w:rPr>
        <w:t>目    录</w:t>
      </w:r>
    </w:p>
    <w:p w:rsidR="00B333BC" w:rsidRPr="00372638" w:rsidRDefault="00B333BC" w:rsidP="00B333BC">
      <w:pPr>
        <w:tabs>
          <w:tab w:val="right" w:leader="dot" w:pos="8494"/>
        </w:tabs>
        <w:ind w:leftChars="200" w:left="420"/>
        <w:rPr>
          <w:rFonts w:asciiTheme="minorEastAsia" w:hAnsiTheme="minorEastAsia" w:cs="Times New Roman"/>
          <w:noProof/>
          <w:sz w:val="28"/>
          <w:szCs w:val="24"/>
        </w:rPr>
      </w:pPr>
      <w:r w:rsidRPr="00372638">
        <w:rPr>
          <w:rFonts w:asciiTheme="minorEastAsia" w:hAnsiTheme="minorEastAsia" w:cs="Times New Roman" w:hint="eastAsia"/>
          <w:sz w:val="28"/>
          <w:szCs w:val="24"/>
        </w:rPr>
        <w:fldChar w:fldCharType="begin"/>
      </w:r>
      <w:r w:rsidRPr="00372638">
        <w:rPr>
          <w:rFonts w:asciiTheme="minorEastAsia" w:hAnsiTheme="minorEastAsia" w:cs="Times New Roman" w:hint="eastAsia"/>
          <w:sz w:val="28"/>
          <w:szCs w:val="24"/>
        </w:rPr>
        <w:instrText xml:space="preserve"> TOC \o "1-2" \h \z </w:instrText>
      </w:r>
      <w:r w:rsidRPr="00372638">
        <w:rPr>
          <w:rFonts w:asciiTheme="minorEastAsia" w:hAnsiTheme="minorEastAsia" w:cs="Times New Roman" w:hint="eastAsia"/>
          <w:sz w:val="28"/>
          <w:szCs w:val="24"/>
        </w:rPr>
        <w:fldChar w:fldCharType="separate"/>
      </w:r>
      <w:hyperlink w:anchor="_Toc124325885" w:history="1">
        <w:r w:rsidRPr="00372638">
          <w:rPr>
            <w:rFonts w:asciiTheme="minorEastAsia" w:hAnsiTheme="minorEastAsia" w:cs="Times New Roman" w:hint="eastAsia"/>
            <w:noProof/>
            <w:color w:val="0000FF"/>
            <w:sz w:val="28"/>
            <w:szCs w:val="32"/>
            <w:u w:val="single"/>
          </w:rPr>
          <w:t>一、基金托管协议</w:t>
        </w:r>
        <w:r w:rsidRPr="00372638">
          <w:rPr>
            <w:rFonts w:asciiTheme="minorEastAsia" w:hAnsiTheme="minorEastAsia" w:cs="Times New Roman" w:hint="eastAsia"/>
            <w:noProof/>
            <w:color w:val="0000FF"/>
            <w:sz w:val="28"/>
            <w:szCs w:val="32"/>
            <w:u w:val="single"/>
          </w:rPr>
          <w:t>当</w:t>
        </w:r>
        <w:r w:rsidRPr="00372638">
          <w:rPr>
            <w:rFonts w:asciiTheme="minorEastAsia" w:hAnsiTheme="minorEastAsia" w:cs="Times New Roman" w:hint="eastAsia"/>
            <w:noProof/>
            <w:color w:val="0000FF"/>
            <w:sz w:val="28"/>
            <w:szCs w:val="32"/>
            <w:u w:val="single"/>
          </w:rPr>
          <w:t>事人</w:t>
        </w:r>
        <w:r w:rsidRPr="00372638">
          <w:rPr>
            <w:rFonts w:asciiTheme="minorEastAsia" w:hAnsiTheme="minorEastAsia" w:cs="Times New Roman" w:hint="eastAsia"/>
            <w:noProof/>
            <w:webHidden/>
            <w:sz w:val="28"/>
            <w:szCs w:val="24"/>
          </w:rPr>
          <w:tab/>
        </w:r>
        <w:r w:rsidRPr="00372638">
          <w:rPr>
            <w:rFonts w:asciiTheme="minorEastAsia" w:hAnsiTheme="minorEastAsia" w:cs="Times New Roman" w:hint="eastAsia"/>
            <w:noProof/>
            <w:webHidden/>
            <w:sz w:val="28"/>
            <w:szCs w:val="24"/>
          </w:rPr>
          <w:fldChar w:fldCharType="begin"/>
        </w:r>
        <w:r w:rsidRPr="00372638">
          <w:rPr>
            <w:rFonts w:asciiTheme="minorEastAsia" w:hAnsiTheme="minorEastAsia" w:cs="Times New Roman" w:hint="eastAsia"/>
            <w:noProof/>
            <w:webHidden/>
            <w:sz w:val="28"/>
            <w:szCs w:val="24"/>
          </w:rPr>
          <w:instrText xml:space="preserve"> PAGEREF _Toc124325885 \h </w:instrText>
        </w:r>
        <w:r w:rsidRPr="00372638">
          <w:rPr>
            <w:rFonts w:asciiTheme="minorEastAsia" w:hAnsiTheme="minorEastAsia" w:cs="Times New Roman" w:hint="eastAsia"/>
            <w:noProof/>
            <w:webHidden/>
            <w:sz w:val="28"/>
            <w:szCs w:val="24"/>
          </w:rPr>
        </w:r>
        <w:r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3</w:t>
        </w:r>
        <w:r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86" w:history="1">
        <w:r w:rsidR="00B333BC" w:rsidRPr="00372638">
          <w:rPr>
            <w:rFonts w:asciiTheme="minorEastAsia" w:hAnsiTheme="minorEastAsia" w:cs="Times New Roman" w:hint="eastAsia"/>
            <w:noProof/>
            <w:color w:val="0000FF"/>
            <w:sz w:val="28"/>
            <w:szCs w:val="32"/>
            <w:u w:val="single"/>
          </w:rPr>
          <w:t>二、基金托管协议的依据、目的和原则</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_Toc124325886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4</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87" w:history="1">
        <w:r w:rsidR="00B333BC" w:rsidRPr="00372638">
          <w:rPr>
            <w:rFonts w:asciiTheme="minorEastAsia" w:hAnsiTheme="minorEastAsia" w:cs="Times New Roman" w:hint="eastAsia"/>
            <w:noProof/>
            <w:color w:val="0000FF"/>
            <w:sz w:val="28"/>
            <w:szCs w:val="32"/>
            <w:u w:val="single"/>
          </w:rPr>
          <w:t>三、基金托管人对基金管理人的业务监督和核查</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_Toc124325887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5</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88" w:history="1">
        <w:r w:rsidR="00B333BC" w:rsidRPr="00372638">
          <w:rPr>
            <w:rFonts w:asciiTheme="minorEastAsia" w:hAnsiTheme="minorEastAsia" w:cs="Times New Roman" w:hint="eastAsia"/>
            <w:noProof/>
            <w:color w:val="0000FF"/>
            <w:sz w:val="28"/>
            <w:szCs w:val="32"/>
            <w:u w:val="single"/>
          </w:rPr>
          <w:t>四、基金管理人对基金托管人的业务核查</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_Toc124325888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14</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89" w:history="1">
        <w:r w:rsidR="00B333BC" w:rsidRPr="00372638">
          <w:rPr>
            <w:rFonts w:asciiTheme="minorEastAsia" w:hAnsiTheme="minorEastAsia" w:cs="Times New Roman" w:hint="eastAsia"/>
            <w:noProof/>
            <w:color w:val="0000FF"/>
            <w:sz w:val="28"/>
            <w:szCs w:val="32"/>
            <w:u w:val="single"/>
          </w:rPr>
          <w:t>五、基金财产的保管</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_Toc124325889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15</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90" w:history="1">
        <w:r w:rsidR="00B333BC" w:rsidRPr="00372638">
          <w:rPr>
            <w:rFonts w:asciiTheme="minorEastAsia" w:hAnsiTheme="minorEastAsia" w:cs="Times New Roman" w:hint="eastAsia"/>
            <w:noProof/>
            <w:color w:val="0000FF"/>
            <w:sz w:val="28"/>
            <w:szCs w:val="32"/>
            <w:u w:val="single"/>
          </w:rPr>
          <w:t>六、指令的发送、确认及执行</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_Toc124325890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18</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91" w:history="1">
        <w:r w:rsidR="00B333BC" w:rsidRPr="00372638">
          <w:rPr>
            <w:rFonts w:asciiTheme="minorEastAsia" w:hAnsiTheme="minorEastAsia" w:cs="Times New Roman" w:hint="eastAsia"/>
            <w:noProof/>
            <w:color w:val="0000FF"/>
            <w:sz w:val="28"/>
            <w:szCs w:val="32"/>
            <w:u w:val="single"/>
          </w:rPr>
          <w:t>七、交易及清算交收安排</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_Toc124325891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20</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92" w:history="1">
        <w:r w:rsidR="00B333BC" w:rsidRPr="00372638">
          <w:rPr>
            <w:rFonts w:asciiTheme="minorEastAsia" w:hAnsiTheme="minorEastAsia" w:cs="Times New Roman" w:hint="eastAsia"/>
            <w:noProof/>
            <w:color w:val="0000FF"/>
            <w:sz w:val="28"/>
            <w:szCs w:val="32"/>
            <w:u w:val="single"/>
          </w:rPr>
          <w:t>八、基金资产净值计算和会计核算</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_Toc124325892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24</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93" w:history="1">
        <w:r w:rsidR="00B333BC" w:rsidRPr="00372638">
          <w:rPr>
            <w:rFonts w:asciiTheme="minorEastAsia" w:hAnsiTheme="minorEastAsia" w:cs="Times New Roman" w:hint="eastAsia"/>
            <w:noProof/>
            <w:color w:val="0000FF"/>
            <w:sz w:val="28"/>
            <w:szCs w:val="32"/>
            <w:u w:val="single"/>
          </w:rPr>
          <w:t>九、基金收益分配</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_Toc124325893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30</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94" w:history="1">
        <w:r w:rsidR="00B333BC" w:rsidRPr="00372638">
          <w:rPr>
            <w:rFonts w:asciiTheme="minorEastAsia" w:hAnsiTheme="minorEastAsia" w:cs="Times New Roman" w:hint="eastAsia"/>
            <w:noProof/>
            <w:color w:val="0000FF"/>
            <w:sz w:val="28"/>
            <w:szCs w:val="32"/>
            <w:u w:val="single"/>
          </w:rPr>
          <w:t>十、基金信息披露</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_Toc124325894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30</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95" w:history="1">
        <w:r w:rsidR="00B333BC" w:rsidRPr="00372638">
          <w:rPr>
            <w:rFonts w:asciiTheme="minorEastAsia" w:hAnsiTheme="minorEastAsia" w:cs="Times New Roman" w:hint="eastAsia"/>
            <w:noProof/>
            <w:color w:val="0000FF"/>
            <w:sz w:val="28"/>
            <w:szCs w:val="32"/>
            <w:u w:val="single"/>
          </w:rPr>
          <w:t>十一、基金费用</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_Toc124325895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32</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96" w:history="1">
        <w:r w:rsidR="00B333BC" w:rsidRPr="00372638">
          <w:rPr>
            <w:rFonts w:asciiTheme="minorEastAsia" w:hAnsiTheme="minorEastAsia" w:cs="Times New Roman" w:hint="eastAsia"/>
            <w:noProof/>
            <w:color w:val="0000FF"/>
            <w:sz w:val="28"/>
            <w:szCs w:val="32"/>
            <w:u w:val="single"/>
          </w:rPr>
          <w:t>十二、基金份额持有人名册的保管</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_Toc124325896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34</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97" w:history="1">
        <w:r w:rsidR="00B333BC" w:rsidRPr="00372638">
          <w:rPr>
            <w:rFonts w:asciiTheme="minorEastAsia" w:hAnsiTheme="minorEastAsia" w:cs="Times New Roman" w:hint="eastAsia"/>
            <w:noProof/>
            <w:color w:val="0000FF"/>
            <w:sz w:val="28"/>
            <w:szCs w:val="32"/>
            <w:u w:val="single"/>
          </w:rPr>
          <w:t>十三、基金有关文件档案的保存</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_Toc124325897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35</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98" w:history="1">
        <w:r w:rsidR="00B333BC" w:rsidRPr="00372638">
          <w:rPr>
            <w:rFonts w:asciiTheme="minorEastAsia" w:hAnsiTheme="minorEastAsia" w:cs="Times New Roman" w:hint="eastAsia"/>
            <w:noProof/>
            <w:color w:val="0000FF"/>
            <w:sz w:val="28"/>
            <w:szCs w:val="32"/>
            <w:u w:val="single"/>
          </w:rPr>
          <w:t>十四、基金管理人和基金托管人的更换</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_Toc124325898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35</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899" w:history="1">
        <w:r w:rsidR="00B333BC" w:rsidRPr="00372638">
          <w:rPr>
            <w:rFonts w:asciiTheme="minorEastAsia" w:hAnsiTheme="minorEastAsia" w:cs="Times New Roman" w:hint="eastAsia"/>
            <w:noProof/>
            <w:color w:val="0000FF"/>
            <w:sz w:val="28"/>
            <w:szCs w:val="32"/>
            <w:u w:val="single"/>
          </w:rPr>
          <w:t>十五、禁止行为</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_Toc124325899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37</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900" w:history="1">
        <w:r w:rsidR="00B333BC" w:rsidRPr="00372638">
          <w:rPr>
            <w:rFonts w:asciiTheme="minorEastAsia" w:hAnsiTheme="minorEastAsia" w:cs="Times New Roman" w:hint="eastAsia"/>
            <w:noProof/>
            <w:color w:val="0000FF"/>
            <w:sz w:val="28"/>
            <w:szCs w:val="32"/>
            <w:u w:val="single"/>
          </w:rPr>
          <w:t>十六、托管协议的变更、终止与基金财产的清算</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_Toc124325900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38</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901" w:history="1">
        <w:r w:rsidR="00B333BC" w:rsidRPr="00372638">
          <w:rPr>
            <w:rFonts w:asciiTheme="minorEastAsia" w:hAnsiTheme="minorEastAsia" w:cs="Times New Roman" w:hint="eastAsia"/>
            <w:noProof/>
            <w:color w:val="0000FF"/>
            <w:sz w:val="28"/>
            <w:szCs w:val="32"/>
            <w:u w:val="single"/>
          </w:rPr>
          <w:t>十七、违约责任</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_Toc124325901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40</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902" w:history="1">
        <w:r w:rsidR="00B333BC" w:rsidRPr="00372638">
          <w:rPr>
            <w:rFonts w:asciiTheme="minorEastAsia" w:hAnsiTheme="minorEastAsia" w:cs="Times New Roman" w:hint="eastAsia"/>
            <w:noProof/>
            <w:color w:val="0000FF"/>
            <w:sz w:val="28"/>
            <w:szCs w:val="32"/>
            <w:u w:val="single"/>
          </w:rPr>
          <w:t>十八、争议解决方式</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_Toc124325902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41</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903" w:history="1">
        <w:r w:rsidR="00B333BC" w:rsidRPr="00372638">
          <w:rPr>
            <w:rFonts w:asciiTheme="minorEastAsia" w:hAnsiTheme="minorEastAsia" w:cs="Times New Roman" w:hint="eastAsia"/>
            <w:noProof/>
            <w:color w:val="0000FF"/>
            <w:sz w:val="28"/>
            <w:szCs w:val="32"/>
            <w:u w:val="single"/>
          </w:rPr>
          <w:t>十九、托管协议的效力</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_Toc124325903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41</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904" w:history="1">
        <w:r w:rsidR="00B333BC" w:rsidRPr="00372638">
          <w:rPr>
            <w:rFonts w:asciiTheme="minorEastAsia" w:hAnsiTheme="minorEastAsia" w:cs="Times New Roman" w:hint="eastAsia"/>
            <w:noProof/>
            <w:color w:val="0000FF"/>
            <w:sz w:val="28"/>
            <w:szCs w:val="32"/>
            <w:u w:val="single"/>
          </w:rPr>
          <w:t>二十、其他事项</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_Toc124325904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42</w:t>
        </w:r>
        <w:r w:rsidR="00B333BC" w:rsidRPr="00372638">
          <w:rPr>
            <w:rFonts w:asciiTheme="minorEastAsia" w:hAnsiTheme="minorEastAsia" w:cs="Times New Roman" w:hint="eastAsia"/>
            <w:noProof/>
            <w:webHidden/>
            <w:sz w:val="28"/>
            <w:szCs w:val="24"/>
          </w:rPr>
          <w:fldChar w:fldCharType="end"/>
        </w:r>
      </w:hyperlink>
    </w:p>
    <w:p w:rsidR="00B333BC" w:rsidRPr="00372638" w:rsidRDefault="00DB2AF0" w:rsidP="00B333BC">
      <w:pPr>
        <w:tabs>
          <w:tab w:val="right" w:leader="dot" w:pos="8494"/>
        </w:tabs>
        <w:ind w:leftChars="200" w:left="420"/>
        <w:rPr>
          <w:rFonts w:asciiTheme="minorEastAsia" w:hAnsiTheme="minorEastAsia" w:cs="Times New Roman"/>
          <w:noProof/>
          <w:sz w:val="28"/>
          <w:szCs w:val="24"/>
        </w:rPr>
      </w:pPr>
      <w:hyperlink w:anchor="_Toc124325905" w:history="1">
        <w:r w:rsidR="00B333BC" w:rsidRPr="00372638">
          <w:rPr>
            <w:rFonts w:asciiTheme="minorEastAsia" w:hAnsiTheme="minorEastAsia" w:cs="Times New Roman" w:hint="eastAsia"/>
            <w:noProof/>
            <w:color w:val="0000FF"/>
            <w:sz w:val="28"/>
            <w:szCs w:val="32"/>
            <w:u w:val="single"/>
          </w:rPr>
          <w:t>二十一、托管协议的签</w:t>
        </w:r>
        <w:r w:rsidR="00B333BC" w:rsidRPr="00372638">
          <w:rPr>
            <w:rFonts w:asciiTheme="minorEastAsia" w:hAnsiTheme="minorEastAsia" w:cs="Times New Roman" w:hint="eastAsia"/>
            <w:noProof/>
            <w:color w:val="0000FF"/>
            <w:sz w:val="28"/>
            <w:szCs w:val="32"/>
            <w:u w:val="single"/>
          </w:rPr>
          <w:t>订</w:t>
        </w:r>
        <w:r w:rsidR="00B333BC" w:rsidRPr="00372638">
          <w:rPr>
            <w:rFonts w:asciiTheme="minorEastAsia" w:hAnsiTheme="minorEastAsia" w:cs="Times New Roman" w:hint="eastAsia"/>
            <w:noProof/>
            <w:webHidden/>
            <w:sz w:val="28"/>
            <w:szCs w:val="24"/>
          </w:rPr>
          <w:tab/>
        </w:r>
        <w:r w:rsidR="00B333BC" w:rsidRPr="00372638">
          <w:rPr>
            <w:rFonts w:asciiTheme="minorEastAsia" w:hAnsiTheme="minorEastAsia" w:cs="Times New Roman" w:hint="eastAsia"/>
            <w:noProof/>
            <w:webHidden/>
            <w:sz w:val="28"/>
            <w:szCs w:val="24"/>
          </w:rPr>
          <w:fldChar w:fldCharType="begin"/>
        </w:r>
        <w:r w:rsidR="00B333BC" w:rsidRPr="00372638">
          <w:rPr>
            <w:rFonts w:asciiTheme="minorEastAsia" w:hAnsiTheme="minorEastAsia" w:cs="Times New Roman" w:hint="eastAsia"/>
            <w:noProof/>
            <w:webHidden/>
            <w:sz w:val="28"/>
            <w:szCs w:val="24"/>
          </w:rPr>
          <w:instrText xml:space="preserve"> PAGEREF _Toc124325905 \h </w:instrText>
        </w:r>
        <w:r w:rsidR="00B333BC" w:rsidRPr="00372638">
          <w:rPr>
            <w:rFonts w:asciiTheme="minorEastAsia" w:hAnsiTheme="minorEastAsia" w:cs="Times New Roman" w:hint="eastAsia"/>
            <w:noProof/>
            <w:webHidden/>
            <w:sz w:val="28"/>
            <w:szCs w:val="24"/>
          </w:rPr>
        </w:r>
        <w:r w:rsidR="00B333BC" w:rsidRPr="00372638">
          <w:rPr>
            <w:rFonts w:asciiTheme="minorEastAsia" w:hAnsiTheme="minorEastAsia" w:cs="Times New Roman" w:hint="eastAsia"/>
            <w:noProof/>
            <w:webHidden/>
            <w:sz w:val="28"/>
            <w:szCs w:val="24"/>
          </w:rPr>
          <w:fldChar w:fldCharType="separate"/>
        </w:r>
        <w:r w:rsidR="004B062C" w:rsidRPr="00372638">
          <w:rPr>
            <w:rFonts w:asciiTheme="minorEastAsia" w:hAnsiTheme="minorEastAsia" w:cs="Times New Roman"/>
            <w:noProof/>
            <w:webHidden/>
            <w:sz w:val="28"/>
            <w:szCs w:val="24"/>
          </w:rPr>
          <w:t>42</w:t>
        </w:r>
        <w:r w:rsidR="00B333BC" w:rsidRPr="00372638">
          <w:rPr>
            <w:rFonts w:asciiTheme="minorEastAsia" w:hAnsiTheme="minorEastAsia" w:cs="Times New Roman" w:hint="eastAsia"/>
            <w:noProof/>
            <w:webHidden/>
            <w:sz w:val="28"/>
            <w:szCs w:val="24"/>
          </w:rPr>
          <w:fldChar w:fldCharType="end"/>
        </w:r>
      </w:hyperlink>
    </w:p>
    <w:p w:rsidR="00B333BC" w:rsidRPr="00372638" w:rsidRDefault="00B333BC" w:rsidP="00B333BC">
      <w:pPr>
        <w:rPr>
          <w:rFonts w:asciiTheme="minorEastAsia" w:hAnsiTheme="minorEastAsia" w:cs="Times New Roman"/>
          <w:sz w:val="24"/>
          <w:szCs w:val="24"/>
        </w:rPr>
      </w:pPr>
      <w:r w:rsidRPr="00372638">
        <w:rPr>
          <w:rFonts w:asciiTheme="minorEastAsia" w:hAnsiTheme="minorEastAsia" w:cs="Times New Roman" w:hint="eastAsia"/>
          <w:sz w:val="28"/>
          <w:szCs w:val="24"/>
        </w:rPr>
        <w:lastRenderedPageBreak/>
        <w:fldChar w:fldCharType="end"/>
      </w:r>
    </w:p>
    <w:p w:rsidR="00B333BC" w:rsidRPr="00372638" w:rsidRDefault="00B333BC" w:rsidP="00372638">
      <w:pPr>
        <w:widowControl/>
        <w:adjustRightInd w:val="0"/>
        <w:snapToGrid w:val="0"/>
        <w:spacing w:line="360" w:lineRule="auto"/>
        <w:ind w:firstLineChars="200" w:firstLine="480"/>
        <w:rPr>
          <w:rFonts w:asciiTheme="minorEastAsia" w:hAnsiTheme="minorEastAsia" w:cs="Arial"/>
          <w:kern w:val="0"/>
          <w:sz w:val="24"/>
          <w:szCs w:val="24"/>
        </w:rPr>
      </w:pPr>
      <w:r w:rsidRPr="00372638">
        <w:rPr>
          <w:rFonts w:asciiTheme="minorEastAsia" w:hAnsiTheme="minorEastAsia" w:cs="Arial" w:hint="eastAsia"/>
          <w:kern w:val="0"/>
          <w:sz w:val="24"/>
          <w:szCs w:val="24"/>
        </w:rPr>
        <w:t>鉴于</w:t>
      </w:r>
      <w:proofErr w:type="gramStart"/>
      <w:r w:rsidRPr="00372638">
        <w:rPr>
          <w:rFonts w:asciiTheme="minorEastAsia" w:hAnsiTheme="minorEastAsia" w:cs="Arial" w:hint="eastAsia"/>
          <w:kern w:val="0"/>
          <w:sz w:val="24"/>
          <w:szCs w:val="24"/>
        </w:rPr>
        <w:t>汇添富基金</w:t>
      </w:r>
      <w:proofErr w:type="gramEnd"/>
      <w:r w:rsidRPr="00372638">
        <w:rPr>
          <w:rFonts w:asciiTheme="minorEastAsia" w:hAnsiTheme="minorEastAsia" w:cs="Arial" w:hint="eastAsia"/>
          <w:kern w:val="0"/>
          <w:sz w:val="24"/>
          <w:szCs w:val="24"/>
        </w:rPr>
        <w:t>管理股份有限公司系一家依照中国法律合法成立并有效存续的股份有限公司，按照相关法律法规的规定具备担任基金管理人的资格和能力，拟募集发行</w:t>
      </w:r>
      <w:proofErr w:type="gramStart"/>
      <w:r w:rsidR="00C71947" w:rsidRPr="00372638">
        <w:rPr>
          <w:rFonts w:asciiTheme="minorEastAsia" w:hAnsiTheme="minorEastAsia" w:cs="Arial" w:hint="eastAsia"/>
          <w:kern w:val="0"/>
          <w:sz w:val="24"/>
          <w:szCs w:val="24"/>
        </w:rPr>
        <w:t>汇添富</w:t>
      </w:r>
      <w:proofErr w:type="gramEnd"/>
      <w:r w:rsidR="00C71947" w:rsidRPr="00372638">
        <w:rPr>
          <w:rFonts w:asciiTheme="minorEastAsia" w:hAnsiTheme="minorEastAsia" w:cs="Arial" w:hint="eastAsia"/>
          <w:kern w:val="0"/>
          <w:sz w:val="24"/>
          <w:szCs w:val="24"/>
        </w:rPr>
        <w:t>养老目标日期2030三年持有期混合型基金中基金（FOF）</w:t>
      </w:r>
      <w:r w:rsidRPr="00372638">
        <w:rPr>
          <w:rFonts w:asciiTheme="minorEastAsia" w:hAnsiTheme="minorEastAsia" w:cs="Arial" w:hint="eastAsia"/>
          <w:kern w:val="0"/>
          <w:sz w:val="24"/>
          <w:szCs w:val="24"/>
        </w:rPr>
        <w:t>；</w:t>
      </w:r>
    </w:p>
    <w:p w:rsidR="00B333BC" w:rsidRPr="00372638" w:rsidRDefault="00B333BC" w:rsidP="00372638">
      <w:pPr>
        <w:widowControl/>
        <w:adjustRightInd w:val="0"/>
        <w:snapToGrid w:val="0"/>
        <w:spacing w:line="360" w:lineRule="auto"/>
        <w:ind w:firstLineChars="200" w:firstLine="480"/>
        <w:rPr>
          <w:rFonts w:asciiTheme="minorEastAsia" w:hAnsiTheme="minorEastAsia" w:cs="Arial"/>
          <w:kern w:val="0"/>
          <w:sz w:val="24"/>
          <w:szCs w:val="24"/>
        </w:rPr>
      </w:pPr>
      <w:r w:rsidRPr="00372638">
        <w:rPr>
          <w:rFonts w:asciiTheme="minorEastAsia" w:hAnsiTheme="minorEastAsia" w:cs="Arial" w:hint="eastAsia"/>
          <w:kern w:val="0"/>
          <w:sz w:val="24"/>
          <w:szCs w:val="24"/>
        </w:rPr>
        <w:t>鉴于中国建设银行股份有限公司系一家依照中国法律合法成立并有效存续的银行，按照相关法律法规的规定具备担任基金托管人的资格和能力；</w:t>
      </w:r>
    </w:p>
    <w:p w:rsidR="00B333BC" w:rsidRPr="00372638" w:rsidRDefault="00B333BC" w:rsidP="00372638">
      <w:pPr>
        <w:widowControl/>
        <w:adjustRightInd w:val="0"/>
        <w:snapToGrid w:val="0"/>
        <w:spacing w:line="360" w:lineRule="auto"/>
        <w:ind w:firstLineChars="200" w:firstLine="480"/>
        <w:rPr>
          <w:rFonts w:asciiTheme="minorEastAsia" w:hAnsiTheme="minorEastAsia" w:cs="Arial"/>
          <w:kern w:val="0"/>
          <w:sz w:val="24"/>
          <w:szCs w:val="24"/>
        </w:rPr>
      </w:pPr>
      <w:r w:rsidRPr="00372638">
        <w:rPr>
          <w:rFonts w:asciiTheme="minorEastAsia" w:hAnsiTheme="minorEastAsia" w:cs="Arial" w:hint="eastAsia"/>
          <w:kern w:val="0"/>
          <w:sz w:val="24"/>
          <w:szCs w:val="24"/>
        </w:rPr>
        <w:t>鉴于</w:t>
      </w:r>
      <w:proofErr w:type="gramStart"/>
      <w:r w:rsidRPr="00372638">
        <w:rPr>
          <w:rFonts w:asciiTheme="minorEastAsia" w:hAnsiTheme="minorEastAsia" w:cs="Arial" w:hint="eastAsia"/>
          <w:kern w:val="0"/>
          <w:sz w:val="24"/>
          <w:szCs w:val="24"/>
        </w:rPr>
        <w:t>汇添富基金</w:t>
      </w:r>
      <w:proofErr w:type="gramEnd"/>
      <w:r w:rsidRPr="00372638">
        <w:rPr>
          <w:rFonts w:asciiTheme="minorEastAsia" w:hAnsiTheme="minorEastAsia" w:cs="Arial" w:hint="eastAsia"/>
          <w:kern w:val="0"/>
          <w:sz w:val="24"/>
          <w:szCs w:val="24"/>
        </w:rPr>
        <w:t>管理股份有限公司拟担任</w:t>
      </w:r>
      <w:proofErr w:type="gramStart"/>
      <w:r w:rsidR="00C71947" w:rsidRPr="00372638">
        <w:rPr>
          <w:rFonts w:asciiTheme="minorEastAsia" w:hAnsiTheme="minorEastAsia" w:cs="Arial" w:hint="eastAsia"/>
          <w:kern w:val="0"/>
          <w:sz w:val="24"/>
          <w:szCs w:val="24"/>
        </w:rPr>
        <w:t>汇添富</w:t>
      </w:r>
      <w:proofErr w:type="gramEnd"/>
      <w:r w:rsidR="00C71947" w:rsidRPr="00372638">
        <w:rPr>
          <w:rFonts w:asciiTheme="minorEastAsia" w:hAnsiTheme="minorEastAsia" w:cs="Arial" w:hint="eastAsia"/>
          <w:kern w:val="0"/>
          <w:sz w:val="24"/>
          <w:szCs w:val="24"/>
        </w:rPr>
        <w:t>养老目标日期2030三年持有期混合型基金中基金（FOF）</w:t>
      </w:r>
      <w:r w:rsidRPr="00372638">
        <w:rPr>
          <w:rFonts w:asciiTheme="minorEastAsia" w:hAnsiTheme="minorEastAsia" w:cs="Arial" w:hint="eastAsia"/>
          <w:kern w:val="0"/>
          <w:sz w:val="24"/>
          <w:szCs w:val="24"/>
        </w:rPr>
        <w:t>的基金管理人，中国建设银行股份有限公司拟担任</w:t>
      </w:r>
      <w:proofErr w:type="gramStart"/>
      <w:r w:rsidR="00C71947" w:rsidRPr="00372638">
        <w:rPr>
          <w:rFonts w:asciiTheme="minorEastAsia" w:hAnsiTheme="minorEastAsia" w:cs="Arial" w:hint="eastAsia"/>
          <w:kern w:val="0"/>
          <w:sz w:val="24"/>
          <w:szCs w:val="24"/>
        </w:rPr>
        <w:t>汇添富</w:t>
      </w:r>
      <w:proofErr w:type="gramEnd"/>
      <w:r w:rsidR="00C71947" w:rsidRPr="00372638">
        <w:rPr>
          <w:rFonts w:asciiTheme="minorEastAsia" w:hAnsiTheme="minorEastAsia" w:cs="Arial" w:hint="eastAsia"/>
          <w:kern w:val="0"/>
          <w:sz w:val="24"/>
          <w:szCs w:val="24"/>
        </w:rPr>
        <w:t>养老目标日期2030三年持有期混合型基金中基金（FOF）</w:t>
      </w:r>
      <w:r w:rsidRPr="00372638">
        <w:rPr>
          <w:rFonts w:asciiTheme="minorEastAsia" w:hAnsiTheme="minorEastAsia" w:cs="Arial" w:hint="eastAsia"/>
          <w:kern w:val="0"/>
          <w:sz w:val="24"/>
          <w:szCs w:val="24"/>
        </w:rPr>
        <w:t>的基金托管人；</w:t>
      </w:r>
    </w:p>
    <w:p w:rsidR="00B333BC" w:rsidRPr="00372638" w:rsidRDefault="00B333BC" w:rsidP="00372638">
      <w:pPr>
        <w:widowControl/>
        <w:adjustRightInd w:val="0"/>
        <w:snapToGrid w:val="0"/>
        <w:spacing w:line="360" w:lineRule="auto"/>
        <w:ind w:firstLineChars="200" w:firstLine="480"/>
        <w:rPr>
          <w:rFonts w:asciiTheme="minorEastAsia" w:hAnsiTheme="minorEastAsia" w:cs="Arial"/>
          <w:kern w:val="0"/>
          <w:sz w:val="24"/>
          <w:szCs w:val="24"/>
        </w:rPr>
      </w:pPr>
      <w:r w:rsidRPr="00372638">
        <w:rPr>
          <w:rFonts w:asciiTheme="minorEastAsia" w:hAnsiTheme="minorEastAsia" w:cs="Arial" w:hint="eastAsia"/>
          <w:kern w:val="0"/>
          <w:sz w:val="24"/>
          <w:szCs w:val="24"/>
        </w:rPr>
        <w:t>为</w:t>
      </w:r>
      <w:proofErr w:type="gramStart"/>
      <w:r w:rsidRPr="00372638">
        <w:rPr>
          <w:rFonts w:asciiTheme="minorEastAsia" w:hAnsiTheme="minorEastAsia" w:cs="Arial" w:hint="eastAsia"/>
          <w:kern w:val="0"/>
          <w:sz w:val="24"/>
          <w:szCs w:val="24"/>
        </w:rPr>
        <w:t>明确</w:t>
      </w:r>
      <w:r w:rsidR="00C71947" w:rsidRPr="00372638">
        <w:rPr>
          <w:rFonts w:asciiTheme="minorEastAsia" w:hAnsiTheme="minorEastAsia" w:cs="Arial" w:hint="eastAsia"/>
          <w:kern w:val="0"/>
          <w:sz w:val="24"/>
          <w:szCs w:val="24"/>
        </w:rPr>
        <w:t>汇添富</w:t>
      </w:r>
      <w:proofErr w:type="gramEnd"/>
      <w:r w:rsidR="00C71947" w:rsidRPr="00372638">
        <w:rPr>
          <w:rFonts w:asciiTheme="minorEastAsia" w:hAnsiTheme="minorEastAsia" w:cs="Arial" w:hint="eastAsia"/>
          <w:kern w:val="0"/>
          <w:sz w:val="24"/>
          <w:szCs w:val="24"/>
        </w:rPr>
        <w:t>养老目标日期2030三年持有期混合型基金中基金（FOF）</w:t>
      </w:r>
      <w:r w:rsidRPr="00372638">
        <w:rPr>
          <w:rFonts w:asciiTheme="minorEastAsia" w:hAnsiTheme="minorEastAsia" w:cs="Arial" w:hint="eastAsia"/>
          <w:kern w:val="0"/>
          <w:sz w:val="24"/>
          <w:szCs w:val="24"/>
        </w:rPr>
        <w:t>的基金管理人和基金托管人之间的权利义务关系，特制订本托管协议；</w:t>
      </w:r>
    </w:p>
    <w:p w:rsidR="00B333BC" w:rsidRPr="00372638" w:rsidRDefault="00B333BC" w:rsidP="00372638">
      <w:pPr>
        <w:widowControl/>
        <w:adjustRightInd w:val="0"/>
        <w:snapToGrid w:val="0"/>
        <w:spacing w:line="360" w:lineRule="auto"/>
        <w:ind w:firstLineChars="200" w:firstLine="480"/>
        <w:rPr>
          <w:rFonts w:asciiTheme="minorEastAsia" w:hAnsiTheme="minorEastAsia" w:cs="Arial"/>
          <w:kern w:val="0"/>
          <w:sz w:val="24"/>
          <w:szCs w:val="24"/>
          <w:lang w:val="en-GB"/>
        </w:rPr>
      </w:pPr>
      <w:r w:rsidRPr="00372638">
        <w:rPr>
          <w:rFonts w:asciiTheme="minorEastAsia" w:hAnsiTheme="minorEastAsia" w:cs="Arial" w:hint="eastAsia"/>
          <w:kern w:val="0"/>
          <w:sz w:val="24"/>
          <w:szCs w:val="24"/>
          <w:lang w:val="en-GB"/>
        </w:rPr>
        <w:t>除非另有约定，《</w:t>
      </w:r>
      <w:r w:rsidR="00C71947" w:rsidRPr="00372638">
        <w:rPr>
          <w:rFonts w:asciiTheme="minorEastAsia" w:hAnsiTheme="minorEastAsia" w:cs="Arial" w:hint="eastAsia"/>
          <w:kern w:val="0"/>
          <w:sz w:val="24"/>
          <w:szCs w:val="24"/>
          <w:lang w:val="en-GB"/>
        </w:rPr>
        <w:t>汇添富养老目标日期2030三年持有期混合型基金中基金（FOF）</w:t>
      </w:r>
      <w:r w:rsidRPr="00372638">
        <w:rPr>
          <w:rFonts w:asciiTheme="minorEastAsia" w:hAnsiTheme="minorEastAsia" w:cs="Arial" w:hint="eastAsia"/>
          <w:kern w:val="0"/>
          <w:sz w:val="24"/>
          <w:szCs w:val="24"/>
          <w:lang w:val="en-GB"/>
        </w:rPr>
        <w:t>基金合同》(以下简称“基金合同”)中定义的术语在用于本托管协议时应具有相同的含义；若有抵触应以《基金合同》为准，并依其</w:t>
      </w:r>
      <w:r w:rsidRPr="00372638">
        <w:rPr>
          <w:rFonts w:asciiTheme="minorEastAsia" w:hAnsiTheme="minorEastAsia" w:cs="Arial" w:hint="eastAsia"/>
          <w:kern w:val="0"/>
          <w:sz w:val="24"/>
          <w:szCs w:val="24"/>
        </w:rPr>
        <w:t>条款</w:t>
      </w:r>
      <w:r w:rsidRPr="00372638">
        <w:rPr>
          <w:rFonts w:asciiTheme="minorEastAsia" w:hAnsiTheme="minorEastAsia" w:cs="Arial" w:hint="eastAsia"/>
          <w:kern w:val="0"/>
          <w:sz w:val="24"/>
          <w:szCs w:val="24"/>
          <w:lang w:val="en-GB"/>
        </w:rPr>
        <w:t>解释。</w:t>
      </w:r>
    </w:p>
    <w:p w:rsidR="00B333BC" w:rsidRPr="00372638" w:rsidRDefault="00B333BC" w:rsidP="00372638">
      <w:pPr>
        <w:spacing w:line="360" w:lineRule="auto"/>
        <w:rPr>
          <w:rFonts w:asciiTheme="minorEastAsia" w:hAnsiTheme="minorEastAsia" w:cs="Times New Roman"/>
          <w:sz w:val="24"/>
          <w:szCs w:val="24"/>
          <w:lang w:val="en-GB"/>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1" w:name="_Toc124325885"/>
      <w:r w:rsidRPr="00372638">
        <w:rPr>
          <w:rFonts w:asciiTheme="minorEastAsia" w:hAnsiTheme="minorEastAsia" w:cs="Times New Roman" w:hint="eastAsia"/>
          <w:b/>
          <w:sz w:val="24"/>
          <w:szCs w:val="24"/>
        </w:rPr>
        <w:t>一、基金托管协议当事人</w:t>
      </w:r>
      <w:bookmarkEnd w:id="1"/>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（一）基金管理人</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名称：</w:t>
      </w:r>
      <w:proofErr w:type="gramStart"/>
      <w:r w:rsidRPr="00372638">
        <w:rPr>
          <w:rFonts w:asciiTheme="minorEastAsia" w:hAnsiTheme="minorEastAsia" w:cs="Arial" w:hint="eastAsia"/>
          <w:sz w:val="24"/>
          <w:szCs w:val="24"/>
        </w:rPr>
        <w:t>汇添富基金</w:t>
      </w:r>
      <w:proofErr w:type="gramEnd"/>
      <w:r w:rsidRPr="00372638">
        <w:rPr>
          <w:rFonts w:asciiTheme="minorEastAsia" w:hAnsiTheme="minorEastAsia" w:cs="Arial" w:hint="eastAsia"/>
          <w:sz w:val="24"/>
          <w:szCs w:val="24"/>
        </w:rPr>
        <w:t>管理股份有限公司</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注册地址：</w:t>
      </w:r>
      <w:r w:rsidR="00C71947" w:rsidRPr="00372638">
        <w:rPr>
          <w:rFonts w:asciiTheme="minorEastAsia" w:hAnsiTheme="minorEastAsia" w:cs="Arial" w:hint="eastAsia"/>
          <w:sz w:val="24"/>
          <w:szCs w:val="24"/>
        </w:rPr>
        <w:t>上海市黄浦区北京东路666号H区（东座）6楼H686室</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办公地址：上海市富城路99号震旦国际大厦</w:t>
      </w:r>
      <w:r w:rsidR="000419BE" w:rsidRPr="00372638">
        <w:rPr>
          <w:rFonts w:asciiTheme="minorEastAsia" w:hAnsiTheme="minorEastAsia" w:cs="Arial" w:hint="eastAsia"/>
          <w:sz w:val="24"/>
          <w:szCs w:val="24"/>
        </w:rPr>
        <w:t>2</w:t>
      </w:r>
      <w:r w:rsidR="000419BE" w:rsidRPr="00372638">
        <w:rPr>
          <w:rFonts w:asciiTheme="minorEastAsia" w:hAnsiTheme="minorEastAsia" w:cs="Arial"/>
          <w:sz w:val="24"/>
          <w:szCs w:val="24"/>
        </w:rPr>
        <w:t>0</w:t>
      </w:r>
      <w:r w:rsidRPr="00372638">
        <w:rPr>
          <w:rFonts w:asciiTheme="minorEastAsia" w:hAnsiTheme="minorEastAsia" w:cs="Arial" w:hint="eastAsia"/>
          <w:sz w:val="24"/>
          <w:szCs w:val="24"/>
        </w:rPr>
        <w:t>层</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邮政编码：200120</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法定代表人：李文</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成立日期：2005年2月3日</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批准设立机关及批准设立文号：中国证监会证</w:t>
      </w:r>
      <w:proofErr w:type="gramStart"/>
      <w:r w:rsidRPr="00372638">
        <w:rPr>
          <w:rFonts w:asciiTheme="minorEastAsia" w:hAnsiTheme="minorEastAsia" w:cs="Arial" w:hint="eastAsia"/>
          <w:sz w:val="24"/>
          <w:szCs w:val="24"/>
        </w:rPr>
        <w:t>监基金字</w:t>
      </w:r>
      <w:proofErr w:type="gramEnd"/>
      <w:r w:rsidRPr="00372638">
        <w:rPr>
          <w:rFonts w:asciiTheme="minorEastAsia" w:hAnsiTheme="minorEastAsia" w:cs="Arial" w:hint="eastAsia"/>
          <w:sz w:val="24"/>
          <w:szCs w:val="24"/>
        </w:rPr>
        <w:t>[2005]5号</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组织形式：股份有限公司</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注册资本：人民币132,724,224元</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存续期间：持续经营</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经营范围：基金管理业务、发起设立基金及中国证券监督管理委员会批准的其他业务</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lastRenderedPageBreak/>
        <w:t>（二）基金托管人</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名称：中国建设银行股份有限公司(简称：中国建设银行)</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住所：北京市西城区金融大街25号</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办公地址：北京市西城区闹市口大街1号院1号楼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邮政编码：100033</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法定代表人：田国立</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成立日期：</w:t>
      </w:r>
      <w:smartTag w:uri="urn:schemas-microsoft-com:office:smarttags" w:element="chsdate">
        <w:smartTagPr>
          <w:attr w:name="IsROCDate" w:val="False"/>
          <w:attr w:name="IsLunarDate" w:val="False"/>
          <w:attr w:name="Day" w:val="17"/>
          <w:attr w:name="Month" w:val="09"/>
          <w:attr w:name="Year" w:val="2004"/>
        </w:smartTagPr>
        <w:r w:rsidRPr="00372638">
          <w:rPr>
            <w:rFonts w:asciiTheme="minorEastAsia" w:hAnsiTheme="minorEastAsia" w:cs="Arial" w:hint="eastAsia"/>
            <w:sz w:val="24"/>
            <w:szCs w:val="24"/>
          </w:rPr>
          <w:t>2004年09月17日</w:t>
        </w:r>
      </w:smartTag>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基金托管业务批准文号：中国证监会</w:t>
      </w:r>
      <w:proofErr w:type="gramStart"/>
      <w:r w:rsidRPr="00372638">
        <w:rPr>
          <w:rFonts w:asciiTheme="minorEastAsia" w:hAnsiTheme="minorEastAsia" w:cs="Arial" w:hint="eastAsia"/>
          <w:sz w:val="24"/>
          <w:szCs w:val="24"/>
        </w:rPr>
        <w:t>证监基字</w:t>
      </w:r>
      <w:proofErr w:type="gramEnd"/>
      <w:r w:rsidRPr="00372638">
        <w:rPr>
          <w:rFonts w:asciiTheme="minorEastAsia" w:hAnsiTheme="minorEastAsia" w:cs="Arial" w:hint="eastAsia"/>
          <w:sz w:val="24"/>
          <w:szCs w:val="24"/>
        </w:rPr>
        <w:t>[1998</w:t>
      </w:r>
      <w:bookmarkStart w:id="2" w:name="OLE_LINK3"/>
      <w:r w:rsidRPr="00372638">
        <w:rPr>
          <w:rFonts w:asciiTheme="minorEastAsia" w:hAnsiTheme="minorEastAsia" w:cs="Arial" w:hint="eastAsia"/>
          <w:sz w:val="24"/>
          <w:szCs w:val="24"/>
        </w:rPr>
        <w:t>]</w:t>
      </w:r>
      <w:bookmarkEnd w:id="2"/>
      <w:r w:rsidRPr="00372638">
        <w:rPr>
          <w:rFonts w:asciiTheme="minorEastAsia" w:hAnsiTheme="minorEastAsia" w:cs="Arial" w:hint="eastAsia"/>
          <w:sz w:val="24"/>
          <w:szCs w:val="24"/>
        </w:rPr>
        <w:t>12号</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组织形式：股份有限公司</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注册资本：</w:t>
      </w:r>
      <w:proofErr w:type="gramStart"/>
      <w:r w:rsidRPr="00372638">
        <w:rPr>
          <w:rFonts w:asciiTheme="minorEastAsia" w:hAnsiTheme="minorEastAsia" w:cs="Times New Roman" w:hint="eastAsia"/>
          <w:sz w:val="24"/>
          <w:szCs w:val="24"/>
        </w:rPr>
        <w:t>贰仟伍佰亿壹仟零玖拾柒万柒仟肆佰捌拾陆</w:t>
      </w:r>
      <w:proofErr w:type="gramEnd"/>
      <w:r w:rsidRPr="00372638">
        <w:rPr>
          <w:rFonts w:asciiTheme="minorEastAsia" w:hAnsiTheme="minorEastAsia" w:cs="Times New Roman" w:hint="eastAsia"/>
          <w:sz w:val="24"/>
          <w:szCs w:val="24"/>
        </w:rPr>
        <w:t>元整</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存续期间：持续经营</w:t>
      </w:r>
    </w:p>
    <w:p w:rsidR="00B333BC" w:rsidRPr="00372638" w:rsidRDefault="00B333BC" w:rsidP="00372638">
      <w:pPr>
        <w:tabs>
          <w:tab w:val="left" w:pos="540"/>
        </w:tabs>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B333BC" w:rsidRPr="00372638" w:rsidRDefault="00B333BC" w:rsidP="00372638">
      <w:pPr>
        <w:spacing w:line="360" w:lineRule="auto"/>
        <w:rPr>
          <w:rFonts w:asciiTheme="minorEastAsia" w:hAnsiTheme="minorEastAsia" w:cs="Times New Roman"/>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3" w:name="_Toc124325886"/>
      <w:r w:rsidRPr="00372638">
        <w:rPr>
          <w:rFonts w:asciiTheme="minorEastAsia" w:hAnsiTheme="minorEastAsia" w:cs="Times New Roman" w:hint="eastAsia"/>
          <w:b/>
          <w:sz w:val="24"/>
          <w:szCs w:val="24"/>
        </w:rPr>
        <w:t>二、基金托管协议的依据、目的和原则</w:t>
      </w:r>
      <w:bookmarkEnd w:id="3"/>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（一）订立托管协议的依据</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本协议依据《中华人民共和国证券投资基金法》(以下简称“《基金法》”)等有关法律法规、《基金合同》及其他有关规定制订。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（二）订立托管协议的目的</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（三）订立托管协议的原则</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基金管理人和基金托管人本着平等自愿、诚实信用、充分保护基金份额持有人合法权益的原则，经协商一致，签订本协议。</w:t>
      </w:r>
    </w:p>
    <w:p w:rsidR="00B333BC" w:rsidRPr="00372638" w:rsidRDefault="00B333BC" w:rsidP="00372638">
      <w:pPr>
        <w:spacing w:line="360" w:lineRule="auto"/>
        <w:rPr>
          <w:rFonts w:asciiTheme="minorEastAsia" w:hAnsiTheme="minorEastAsia" w:cs="Times New Roman"/>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4" w:name="_Toc124325887"/>
      <w:r w:rsidRPr="00372638">
        <w:rPr>
          <w:rFonts w:asciiTheme="minorEastAsia" w:hAnsiTheme="minorEastAsia" w:cs="Times New Roman" w:hint="eastAsia"/>
          <w:b/>
          <w:sz w:val="24"/>
          <w:szCs w:val="24"/>
        </w:rPr>
        <w:lastRenderedPageBreak/>
        <w:t>三、基金托管人对基金管理人的业务监督和核查</w:t>
      </w:r>
      <w:bookmarkEnd w:id="4"/>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基金主要投资于经中国证监会依法核准或注册的公开募集证券投资基金（以下简称“证券投资基金”，包含封闭式基金、开放式基金、上市开放式基金（LOF）和交易型开放式指数基金（ETF）、QDII基金、香港互认基金等）。</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为更好地实现投资目标，本基金还可投资于股票（包含中小板、创业板及其他中国证监会核准上市的股票）、权证、债券（包含国债、金融债、企业债、公司债、次级债、可转换债券（含分离交易可转债）、可交换债券、央行票据、中期票据、短期融资</w:t>
      </w:r>
      <w:proofErr w:type="gramStart"/>
      <w:r w:rsidRPr="00372638">
        <w:rPr>
          <w:rFonts w:asciiTheme="minorEastAsia" w:hAnsiTheme="minorEastAsia" w:cs="Arial" w:hint="eastAsia"/>
          <w:sz w:val="24"/>
          <w:szCs w:val="24"/>
        </w:rPr>
        <w:t>券</w:t>
      </w:r>
      <w:proofErr w:type="gramEnd"/>
      <w:r w:rsidRPr="00372638">
        <w:rPr>
          <w:rFonts w:asciiTheme="minorEastAsia" w:hAnsiTheme="minorEastAsia" w:cs="Arial" w:hint="eastAsia"/>
          <w:sz w:val="24"/>
          <w:szCs w:val="24"/>
        </w:rPr>
        <w:t>（</w:t>
      </w:r>
      <w:proofErr w:type="gramStart"/>
      <w:r w:rsidRPr="00372638">
        <w:rPr>
          <w:rFonts w:asciiTheme="minorEastAsia" w:hAnsiTheme="minorEastAsia" w:cs="Arial" w:hint="eastAsia"/>
          <w:sz w:val="24"/>
          <w:szCs w:val="24"/>
        </w:rPr>
        <w:t>含超短期</w:t>
      </w:r>
      <w:proofErr w:type="gramEnd"/>
      <w:r w:rsidRPr="00372638">
        <w:rPr>
          <w:rFonts w:asciiTheme="minorEastAsia" w:hAnsiTheme="minorEastAsia" w:cs="Arial" w:hint="eastAsia"/>
          <w:sz w:val="24"/>
          <w:szCs w:val="24"/>
        </w:rPr>
        <w:t>融资</w:t>
      </w:r>
      <w:proofErr w:type="gramStart"/>
      <w:r w:rsidRPr="00372638">
        <w:rPr>
          <w:rFonts w:asciiTheme="minorEastAsia" w:hAnsiTheme="minorEastAsia" w:cs="Arial" w:hint="eastAsia"/>
          <w:sz w:val="24"/>
          <w:szCs w:val="24"/>
        </w:rPr>
        <w:t>券</w:t>
      </w:r>
      <w:proofErr w:type="gramEnd"/>
      <w:r w:rsidRPr="00372638">
        <w:rPr>
          <w:rFonts w:asciiTheme="minorEastAsia" w:hAnsiTheme="minorEastAsia" w:cs="Arial" w:hint="eastAsia"/>
          <w:sz w:val="24"/>
          <w:szCs w:val="24"/>
        </w:rPr>
        <w:t>）等）、资产支持证券、债券回购、银行存款、同业存单、货币市场工具及法律法规或中国证监会允许基金投资的其他金融工具（但须符合中国证监会的相关规定）。</w:t>
      </w:r>
    </w:p>
    <w:p w:rsidR="00C71947"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如法律法规或监管机构以后允许基金投资其他品种，基金管理人在履行适当程序后，可以将其纳入投资范围。</w:t>
      </w:r>
    </w:p>
    <w:p w:rsidR="00C71947" w:rsidRPr="00372638" w:rsidRDefault="00C71947"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本基金转型为“</w:t>
      </w:r>
      <w:r w:rsidR="00216FA1" w:rsidRPr="00372638">
        <w:rPr>
          <w:rFonts w:asciiTheme="minorEastAsia" w:hAnsiTheme="minorEastAsia" w:cs="Arial" w:hint="eastAsia"/>
          <w:sz w:val="24"/>
          <w:szCs w:val="24"/>
        </w:rPr>
        <w:t>汇添富颐康稳健养老目标一年持有期混合型基金中基金（FOF）</w:t>
      </w:r>
      <w:r w:rsidRPr="00372638">
        <w:rPr>
          <w:rFonts w:asciiTheme="minorEastAsia" w:hAnsiTheme="minorEastAsia" w:cs="Arial" w:hint="eastAsia"/>
          <w:sz w:val="24"/>
          <w:szCs w:val="24"/>
        </w:rPr>
        <w:t>”后，本基金将投资于以下金融工具：</w:t>
      </w:r>
    </w:p>
    <w:p w:rsidR="00C71947" w:rsidRPr="00372638" w:rsidRDefault="00C71947"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基金主要投资于经中国证监会依法核准或注册的公开募集证券投资基金（以下简称“证券投资基金”，包含封闭式基金、开放式基金、上市开放式基金（LOF）和交易型开放式指数基金（ETF）、QDII基金、香港互认基金等）。</w:t>
      </w:r>
    </w:p>
    <w:p w:rsidR="00C71947" w:rsidRPr="00372638" w:rsidRDefault="00C71947"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为更好地实现投资目标，本基金还可投资于股票（包含中小板、创业板及其他中国证监会核准上市的股票）、权证、债券（包含国债、金融债、企业债、公司债、次级债、可转换债券（含分离交易可转债）、可交换债券、央行票据、中期票据、短期融资</w:t>
      </w:r>
      <w:proofErr w:type="gramStart"/>
      <w:r w:rsidRPr="00372638">
        <w:rPr>
          <w:rFonts w:asciiTheme="minorEastAsia" w:hAnsiTheme="minorEastAsia" w:cs="Arial" w:hint="eastAsia"/>
          <w:sz w:val="24"/>
          <w:szCs w:val="24"/>
        </w:rPr>
        <w:t>券</w:t>
      </w:r>
      <w:proofErr w:type="gramEnd"/>
      <w:r w:rsidRPr="00372638">
        <w:rPr>
          <w:rFonts w:asciiTheme="minorEastAsia" w:hAnsiTheme="minorEastAsia" w:cs="Arial" w:hint="eastAsia"/>
          <w:sz w:val="24"/>
          <w:szCs w:val="24"/>
        </w:rPr>
        <w:t>（</w:t>
      </w:r>
      <w:proofErr w:type="gramStart"/>
      <w:r w:rsidRPr="00372638">
        <w:rPr>
          <w:rFonts w:asciiTheme="minorEastAsia" w:hAnsiTheme="minorEastAsia" w:cs="Arial" w:hint="eastAsia"/>
          <w:sz w:val="24"/>
          <w:szCs w:val="24"/>
        </w:rPr>
        <w:t>含超短期</w:t>
      </w:r>
      <w:proofErr w:type="gramEnd"/>
      <w:r w:rsidRPr="00372638">
        <w:rPr>
          <w:rFonts w:asciiTheme="minorEastAsia" w:hAnsiTheme="minorEastAsia" w:cs="Arial" w:hint="eastAsia"/>
          <w:sz w:val="24"/>
          <w:szCs w:val="24"/>
        </w:rPr>
        <w:t>融资</w:t>
      </w:r>
      <w:proofErr w:type="gramStart"/>
      <w:r w:rsidRPr="00372638">
        <w:rPr>
          <w:rFonts w:asciiTheme="minorEastAsia" w:hAnsiTheme="minorEastAsia" w:cs="Arial" w:hint="eastAsia"/>
          <w:sz w:val="24"/>
          <w:szCs w:val="24"/>
        </w:rPr>
        <w:t>券</w:t>
      </w:r>
      <w:proofErr w:type="gramEnd"/>
      <w:r w:rsidRPr="00372638">
        <w:rPr>
          <w:rFonts w:asciiTheme="minorEastAsia" w:hAnsiTheme="minorEastAsia" w:cs="Arial" w:hint="eastAsia"/>
          <w:sz w:val="24"/>
          <w:szCs w:val="24"/>
        </w:rPr>
        <w:t>）等）、资产支持证券、债券回购、银行存款、同业存单、货币市场工具及法律法规或中国证监会允许基金投资的其他金融工具（但须符合中国证监会的相关规定）。</w:t>
      </w:r>
    </w:p>
    <w:p w:rsidR="00B333BC" w:rsidRPr="00372638" w:rsidRDefault="00C71947"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如法律法规或监管机构以后允许基金投资其他品种，基金管理人在履行适当</w:t>
      </w:r>
      <w:r w:rsidRPr="00372638">
        <w:rPr>
          <w:rFonts w:asciiTheme="minorEastAsia" w:hAnsiTheme="minorEastAsia" w:cs="Arial" w:hint="eastAsia"/>
          <w:sz w:val="24"/>
          <w:szCs w:val="24"/>
        </w:rPr>
        <w:lastRenderedPageBreak/>
        <w:t>程序后，可以将其纳入投资范围。</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本基金投资于证券投资基金的比例不低于基金资产的80%，投资于股票、股票型证券投资基金、混合型证券投资基金、商品基金（</w:t>
      </w:r>
      <w:proofErr w:type="gramStart"/>
      <w:r w:rsidRPr="00372638">
        <w:rPr>
          <w:rFonts w:asciiTheme="minorEastAsia" w:hAnsiTheme="minorEastAsia" w:cs="Arial" w:hint="eastAsia"/>
          <w:sz w:val="24"/>
          <w:szCs w:val="24"/>
        </w:rPr>
        <w:t>含商品</w:t>
      </w:r>
      <w:proofErr w:type="gramEnd"/>
      <w:r w:rsidRPr="00372638">
        <w:rPr>
          <w:rFonts w:asciiTheme="minorEastAsia" w:hAnsiTheme="minorEastAsia" w:cs="Arial" w:hint="eastAsia"/>
          <w:sz w:val="24"/>
          <w:szCs w:val="24"/>
        </w:rPr>
        <w:t>期货基金和黄金ETF）等品种的比例合计原则上不高于基金资产的60%，持有现金或到期日在一年以内的政府债券的投资比例合计不低于基金资产净值的5%。本基金所指的现金不包括结算备付金、存出保证金、应收申购款等。</w:t>
      </w:r>
    </w:p>
    <w:p w:rsidR="00C71947" w:rsidRPr="00372638" w:rsidRDefault="00C71947"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本基金转型为“</w:t>
      </w:r>
      <w:r w:rsidR="00216FA1" w:rsidRPr="00372638">
        <w:rPr>
          <w:rFonts w:asciiTheme="minorEastAsia" w:hAnsiTheme="minorEastAsia" w:cs="Arial" w:hint="eastAsia"/>
          <w:sz w:val="24"/>
          <w:szCs w:val="24"/>
        </w:rPr>
        <w:t>汇添富颐康稳健养老目标一年持有期混合型基金中基金（FOF）</w:t>
      </w:r>
      <w:r w:rsidRPr="00372638">
        <w:rPr>
          <w:rFonts w:asciiTheme="minorEastAsia" w:hAnsiTheme="minorEastAsia" w:cs="Arial" w:hint="eastAsia"/>
          <w:sz w:val="24"/>
          <w:szCs w:val="24"/>
        </w:rPr>
        <w:t>”后，本基金投资于证券投资基金的比例不低于基金资产的80%，投资于股票、股票型证券投资基金、混合型证券投资基金、商品基金（</w:t>
      </w:r>
      <w:proofErr w:type="gramStart"/>
      <w:r w:rsidRPr="00372638">
        <w:rPr>
          <w:rFonts w:asciiTheme="minorEastAsia" w:hAnsiTheme="minorEastAsia" w:cs="Arial" w:hint="eastAsia"/>
          <w:sz w:val="24"/>
          <w:szCs w:val="24"/>
        </w:rPr>
        <w:t>含商品</w:t>
      </w:r>
      <w:proofErr w:type="gramEnd"/>
      <w:r w:rsidRPr="00372638">
        <w:rPr>
          <w:rFonts w:asciiTheme="minorEastAsia" w:hAnsiTheme="minorEastAsia" w:cs="Arial" w:hint="eastAsia"/>
          <w:sz w:val="24"/>
          <w:szCs w:val="24"/>
        </w:rPr>
        <w:t>期货基金和黄金ETF）等品种的比例合计原则上不高于基金资产的30%，持有现金或到期日在一年以内的政府债券的投资比例合计不低于基金资产净值的5%。本基金所指的现金不包括结算备付金、存出保证金、应收申购款等。</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如法律法规或监管机构变更投资品种的投资比例限制，基金管理人在履行适当程序后，可以调整上述投资品种的投资比例。</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（二）基金托管人根据有关法律法规的规定及《基金合同》的约定，对基金投资比例进行监督。基金托管人按下述比例和调整期限进行监督：</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（1）本基金投资于证券投资基金的比例不低于基金资产的80%，投资于股票、股票型证券投资基金、混合型证券投资基金、商品基金（</w:t>
      </w:r>
      <w:proofErr w:type="gramStart"/>
      <w:r w:rsidRPr="00372638">
        <w:rPr>
          <w:rFonts w:asciiTheme="minorEastAsia" w:hAnsiTheme="minorEastAsia" w:cs="Times New Roman" w:hint="eastAsia"/>
          <w:sz w:val="24"/>
          <w:szCs w:val="24"/>
        </w:rPr>
        <w:t>含商品</w:t>
      </w:r>
      <w:proofErr w:type="gramEnd"/>
      <w:r w:rsidRPr="00372638">
        <w:rPr>
          <w:rFonts w:asciiTheme="minorEastAsia" w:hAnsiTheme="minorEastAsia" w:cs="Times New Roman" w:hint="eastAsia"/>
          <w:sz w:val="24"/>
          <w:szCs w:val="24"/>
        </w:rPr>
        <w:t>期货基金和黄金ETF）等品种的比例合计原则上不高于基金资产的60%；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（2）本基金持有现金或到期日在一年以内的政府债券的投资比例合计不低于基金资产净值的5%；本基金所指的现金不包括结算备付金、存出保证金、应收申购款等；</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（3）本基金持有其他单只证券投资基金的市值不超过本基金资产净值的20%，且不得投资于其他基金中基金；</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（4）本基金管理人管理的且由本基金托管人托管的全部基金中基金（ETF联接基金除外）持有单只证券投资基金不得超过被投资基金净资产的20%，被投资基金净资产规模以最近定期报告披露的规模为准；</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（5）本基金投资的证券投资基金（指数基金、ETF 和商品基金等品种除外）运作期限应当不少于2 年，最近2年平均季末基金净资产应当不低于2亿元；</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（6）本基金投资的证券投资基金为指数基金、ETF 和商品基金等品种的，运</w:t>
      </w:r>
      <w:r w:rsidRPr="00372638">
        <w:rPr>
          <w:rFonts w:asciiTheme="minorEastAsia" w:hAnsiTheme="minorEastAsia" w:cs="Times New Roman" w:hint="eastAsia"/>
          <w:sz w:val="24"/>
          <w:szCs w:val="24"/>
        </w:rPr>
        <w:lastRenderedPageBreak/>
        <w:t>作期限应当不少于1 年，最近定期报告披露的季末基金净资产应当不低于1 亿元；</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（7）本基金投资的证券投资基金的基金管理人及基金经理最近2年没有重大违法违规行为；</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（8）投资于封闭运作基金、定期开放基金等流通受限基金资产合计不得超过基金资产净值的10%；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（9）本基金投资于股票、债券等金融工具的，投资品种和比例应当符合本基金的投资目标和投资策略；</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（10）本基金持有一家公司发行的证券（不包括基金份额），其市值不超过基金资产净值的10%；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（11）本基金管理人管理的且由本基金托管人托管的全部基金持有一家公司发行的证券（不包括基金份额），不超过该证券的10%；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（12）基金财产参与股票发行申购，本基金所申报的金额不超过本基金的总资产，本基金所申报的股票数量不超过拟发行股票公司本次发行股票的总量；</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（13）本基金进入全国银行间同业市场进行债券回购的资金余额不得超过基金资产净值的40%；在全国银行间同业市场中的债券回购最长期限为1年，债券回购到期后</w:t>
      </w:r>
      <w:proofErr w:type="gramStart"/>
      <w:r w:rsidRPr="00372638">
        <w:rPr>
          <w:rFonts w:asciiTheme="minorEastAsia" w:hAnsiTheme="minorEastAsia" w:cs="Times New Roman" w:hint="eastAsia"/>
          <w:sz w:val="24"/>
          <w:szCs w:val="24"/>
        </w:rPr>
        <w:t>不</w:t>
      </w:r>
      <w:proofErr w:type="gramEnd"/>
      <w:r w:rsidRPr="00372638">
        <w:rPr>
          <w:rFonts w:asciiTheme="minorEastAsia" w:hAnsiTheme="minorEastAsia" w:cs="Times New Roman" w:hint="eastAsia"/>
          <w:sz w:val="24"/>
          <w:szCs w:val="24"/>
        </w:rPr>
        <w:t>展期；</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（14）本基金投资于同一原始权益人的各类资产支持证券的比例，不得超过基金资产净值的10%；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（15）本基金持有的全部资产支持证券，其市值不得超过基金资产净值的20%；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（16）本基金持有的同一（指同一信用级别）资产支持证券的比例，不得超过该资产支持证券规模的10%；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（17）本基金管理人管理的且由本基金托管人托管的全部基金投资于同一原始权益人的各类资产支持证券，不得超过其各类资产支持证券合计规模的10%；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（18）本基金应投资于信用级别评级为BBB以上（含BBB）的资产支持证券。基金持有资产支持证券期间，如果其信用等级下降、不再符合投资标准，应在评级报告发布之日起3个月内予以全部卖出；</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（19）本基金持有的全部权证，其市值不得超过基金资产净值的3％；</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（20）本基金管理人管理的且由本基金托管人托管的全部基金持有的同一权证，不得超过该权证的10％；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（21）本基金在任何交易日买入权证的总金额，不得超过上一交易日基金资产</w:t>
      </w:r>
      <w:r w:rsidRPr="00372638">
        <w:rPr>
          <w:rFonts w:asciiTheme="minorEastAsia" w:hAnsiTheme="minorEastAsia" w:cs="Times New Roman" w:hint="eastAsia"/>
          <w:sz w:val="24"/>
          <w:szCs w:val="24"/>
        </w:rPr>
        <w:lastRenderedPageBreak/>
        <w:t>净值的0.5％；</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（22）基金资产总值不得超过基金资产净值的140%；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（23）本基金主动投资流动性受限资产的市值合计不得超过本</w:t>
      </w:r>
      <w:proofErr w:type="gramStart"/>
      <w:r w:rsidRPr="00372638">
        <w:rPr>
          <w:rFonts w:asciiTheme="minorEastAsia" w:hAnsiTheme="minorEastAsia" w:cs="Times New Roman" w:hint="eastAsia"/>
          <w:sz w:val="24"/>
          <w:szCs w:val="24"/>
        </w:rPr>
        <w:t>基金基金</w:t>
      </w:r>
      <w:proofErr w:type="gramEnd"/>
      <w:r w:rsidRPr="00372638">
        <w:rPr>
          <w:rFonts w:asciiTheme="minorEastAsia" w:hAnsiTheme="minorEastAsia" w:cs="Times New Roman" w:hint="eastAsia"/>
          <w:sz w:val="24"/>
          <w:szCs w:val="24"/>
        </w:rPr>
        <w:t>资产净值的15%；因证券市场波动、上市公司停牌、基金规模变动等基金管理人之外的因素致使基金投资比例不符合上述投资比例限制的，基金管理人不得主动新增流动性受限资产的投资；</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24）本基金管理人管理的且由本基金托管人托管的全部开放式基金（包括开放式基金以及处于开放期的定期开放基金，完全按照有关指数的构成比例进行证券投资的开放式基金以及中国证监会认可的特殊投资组合除外）持有一家上市公司发行的可流通股票，不得超过该上市公司可流通股票的15%；同一基金管理人管理的全部投资组合持有一家上市公司发行的可流通股票，不得超过该上市公司可流通股票的30%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（25）本基金与私募类</w:t>
      </w:r>
      <w:proofErr w:type="gramStart"/>
      <w:r w:rsidRPr="00372638">
        <w:rPr>
          <w:rFonts w:asciiTheme="minorEastAsia" w:hAnsiTheme="minorEastAsia" w:cs="Times New Roman" w:hint="eastAsia"/>
          <w:sz w:val="24"/>
          <w:szCs w:val="24"/>
        </w:rPr>
        <w:t>证券资管产品</w:t>
      </w:r>
      <w:proofErr w:type="gramEnd"/>
      <w:r w:rsidRPr="00372638">
        <w:rPr>
          <w:rFonts w:asciiTheme="minorEastAsia" w:hAnsiTheme="minorEastAsia" w:cs="Times New Roman" w:hint="eastAsia"/>
          <w:sz w:val="24"/>
          <w:szCs w:val="24"/>
        </w:rPr>
        <w:t>及中国证监会认定的其他主体为交易对手方开展逆回购交易的，可接受质押品的资质要求应当与基金合同约定的投资范围保持一致。</w:t>
      </w:r>
    </w:p>
    <w:p w:rsidR="00C71947" w:rsidRPr="00372638" w:rsidRDefault="00C71947"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w:t>
      </w:r>
      <w:r w:rsidR="006A1C9D" w:rsidRPr="00372638">
        <w:rPr>
          <w:rFonts w:asciiTheme="minorEastAsia" w:hAnsiTheme="minorEastAsia" w:cs="Times New Roman"/>
          <w:sz w:val="24"/>
          <w:szCs w:val="24"/>
        </w:rPr>
        <w:t>6</w:t>
      </w:r>
      <w:r w:rsidRPr="00372638">
        <w:rPr>
          <w:rFonts w:asciiTheme="minorEastAsia" w:hAnsiTheme="minorEastAsia" w:cs="Times New Roman" w:hint="eastAsia"/>
          <w:sz w:val="24"/>
          <w:szCs w:val="24"/>
        </w:rPr>
        <w:t>）本基金投资于货币市场基金的比例不超过基金资产的5%；</w:t>
      </w:r>
    </w:p>
    <w:p w:rsidR="00C71947" w:rsidRPr="00372638" w:rsidRDefault="00C71947" w:rsidP="00372638">
      <w:pPr>
        <w:adjustRightInd w:val="0"/>
        <w:snapToGrid w:val="0"/>
        <w:spacing w:line="360" w:lineRule="auto"/>
        <w:ind w:firstLine="420"/>
        <w:rPr>
          <w:rFonts w:asciiTheme="minorEastAsia" w:hAnsiTheme="minorEastAsia" w:cs="Times New Roman"/>
          <w:sz w:val="24"/>
          <w:szCs w:val="24"/>
        </w:rPr>
      </w:pPr>
      <w:r w:rsidRPr="00372638">
        <w:rPr>
          <w:rFonts w:asciiTheme="minorEastAsia" w:hAnsiTheme="minorEastAsia" w:cs="Times New Roman" w:hint="eastAsia"/>
          <w:sz w:val="24"/>
          <w:szCs w:val="24"/>
        </w:rPr>
        <w:t>（2</w:t>
      </w:r>
      <w:r w:rsidR="006A1C9D" w:rsidRPr="00372638">
        <w:rPr>
          <w:rFonts w:asciiTheme="minorEastAsia" w:hAnsiTheme="minorEastAsia" w:cs="Times New Roman"/>
          <w:sz w:val="24"/>
          <w:szCs w:val="24"/>
        </w:rPr>
        <w:t>7</w:t>
      </w:r>
      <w:r w:rsidRPr="00372638">
        <w:rPr>
          <w:rFonts w:asciiTheme="minorEastAsia" w:hAnsiTheme="minorEastAsia" w:cs="Times New Roman" w:hint="eastAsia"/>
          <w:sz w:val="24"/>
          <w:szCs w:val="24"/>
        </w:rPr>
        <w:t>）本基金投资于商品基金（</w:t>
      </w:r>
      <w:proofErr w:type="gramStart"/>
      <w:r w:rsidRPr="00372638">
        <w:rPr>
          <w:rFonts w:asciiTheme="minorEastAsia" w:hAnsiTheme="minorEastAsia" w:cs="Times New Roman" w:hint="eastAsia"/>
          <w:sz w:val="24"/>
          <w:szCs w:val="24"/>
        </w:rPr>
        <w:t>含商品</w:t>
      </w:r>
      <w:proofErr w:type="gramEnd"/>
      <w:r w:rsidRPr="00372638">
        <w:rPr>
          <w:rFonts w:asciiTheme="minorEastAsia" w:hAnsiTheme="minorEastAsia" w:cs="Times New Roman" w:hint="eastAsia"/>
          <w:sz w:val="24"/>
          <w:szCs w:val="24"/>
        </w:rPr>
        <w:t>期货基金和黄金ETF）的比例不超过基金资产的10%；</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如果法律法规或监管部门对上述投资组合比例限制进行取消或变更的，如适用于本基金，基金管理人在履行适当程序后，则本基金投资不再受相关限制或按变更后的规定执行。</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因证券市场波动、基金规模变动等基金管理人之外的因素致使基金投资比例不符合上述第（3）、（4）项规定投资比例的，基金管理人应当在20个交易日内进行调整，但中国证监会规定的特殊情形除外。</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因证券市场波动、证券发行人合并、基金规模变动等基金管理人之外的因素致使基金投资比例不符合上述规定投资比例的，对于除第（2）、（3）、（4）、（5）、（6）、（7）、（18）、（23）、（25）项规定的其他情形，基金管理人应当在10个交易日内进行调整，但中国证监会规定的特殊情形除外。法律法规另有规定的从其规定。</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基金管理人应当自基金合同生效之日起6个月内使基金的投资组合比例符合基金合同的有关约定。在上述期间内，本基金的投资范围、投资策略应当符合基金</w:t>
      </w:r>
      <w:r w:rsidRPr="00372638">
        <w:rPr>
          <w:rFonts w:asciiTheme="minorEastAsia" w:hAnsiTheme="minorEastAsia" w:cs="Times New Roman" w:hint="eastAsia"/>
          <w:sz w:val="24"/>
          <w:szCs w:val="24"/>
        </w:rPr>
        <w:lastRenderedPageBreak/>
        <w:t>合同的约定。基金托管人对基金的投资的监督与检查自基金合同生效之日起开始。</w:t>
      </w:r>
    </w:p>
    <w:p w:rsidR="00C71947" w:rsidRPr="00372638" w:rsidRDefault="00C71947"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本基金转型为“</w:t>
      </w:r>
      <w:r w:rsidR="00216FA1" w:rsidRPr="00372638">
        <w:rPr>
          <w:rFonts w:asciiTheme="minorEastAsia" w:hAnsiTheme="minorEastAsia" w:cs="Times New Roman" w:hint="eastAsia"/>
          <w:sz w:val="24"/>
          <w:szCs w:val="24"/>
        </w:rPr>
        <w:t>汇添富颐康稳健养老目标一年持有期混合型基金中基金（FOF）</w:t>
      </w:r>
      <w:r w:rsidRPr="00372638">
        <w:rPr>
          <w:rFonts w:asciiTheme="minorEastAsia" w:hAnsiTheme="minorEastAsia" w:cs="Times New Roman" w:hint="eastAsia"/>
          <w:sz w:val="24"/>
          <w:szCs w:val="24"/>
        </w:rPr>
        <w:t>”后，本基金投资组合遵循以下投资限制：</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（1）本基金投资于证券投资基金的比例不低于基金资产的80%，投资于股票、股票型证券投资基金、混合型证券投资基金、商品基金（</w:t>
      </w:r>
      <w:proofErr w:type="gramStart"/>
      <w:r w:rsidRPr="00372638">
        <w:rPr>
          <w:rFonts w:asciiTheme="minorEastAsia" w:hAnsiTheme="minorEastAsia" w:cs="Times New Roman" w:hint="eastAsia"/>
          <w:sz w:val="24"/>
          <w:szCs w:val="24"/>
        </w:rPr>
        <w:t>含商品</w:t>
      </w:r>
      <w:proofErr w:type="gramEnd"/>
      <w:r w:rsidRPr="00372638">
        <w:rPr>
          <w:rFonts w:asciiTheme="minorEastAsia" w:hAnsiTheme="minorEastAsia" w:cs="Times New Roman" w:hint="eastAsia"/>
          <w:sz w:val="24"/>
          <w:szCs w:val="24"/>
        </w:rPr>
        <w:t>期货基金和黄金ETF）等品种的比例合计原则上不高于基金资产的</w:t>
      </w:r>
      <w:r w:rsidRPr="00372638">
        <w:rPr>
          <w:rFonts w:asciiTheme="minorEastAsia" w:hAnsiTheme="minorEastAsia" w:cs="Times New Roman"/>
          <w:sz w:val="24"/>
          <w:szCs w:val="24"/>
        </w:rPr>
        <w:t>3</w:t>
      </w:r>
      <w:r w:rsidRPr="00372638">
        <w:rPr>
          <w:rFonts w:asciiTheme="minorEastAsia" w:hAnsiTheme="minorEastAsia" w:cs="Times New Roman" w:hint="eastAsia"/>
          <w:sz w:val="24"/>
          <w:szCs w:val="24"/>
        </w:rPr>
        <w:t>0%；</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（2）本基金持有现金或到期日在一年以内的政府债券的投资比例合计不低于基金资产净值的5%；本基金所指的现金不包括结算备付金、存出保证金、应收申购款等；</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（3）本基金持有其他单只证券投资基金的市值不超过本基金资产净值的20%，且不得投资于其他基金中基金；</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（4）本基金管理人管理的且由本基金托管人托管的全部基金中基金（ETF联接基金除外）持有单只证券投资基金不得超过被投资基金净资产的20%，被投资基金净资产规模以最近定期报告披露的规模为准；</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（5）本基金投资的证券投资基金（指数基金、ETF 和商品基金等品种除外）运作期限应当不少于2 年，最近2年平均季末基金净资产应当不低于2亿元；</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（6）本基金投资的证券投资基金为指数基金、ETF 和商品基金等品种的，运作期限应当不少于1 年，最近定期报告披露的季末基金净资产应当不低于1 亿元；</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（7）本基金投资的证券投资基金的基金管理人及基金经理最近2年没有重大违法违规行为；</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（8）投资于封闭运作基金、定期开放基金等流通受限基金资产合计不得超过基金资产净值的10%；</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（9）本基金投资于股票、债券等金融工具的，投资品种和比例应当符合本基金的投资目标和投资策略；</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（10）本基金持有一家公司发行的证券（不包括基金份额），其市值不超过基金资产净值的10%；</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（11）本基金管理人管理的且由本基金托管人托管的全部基金持有一家公司发行的证券（不包括基金份额），不超过该证券的10%；</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（12）基金财产参与股票发行申购，本基金所申报的金额不超过本基金的总资产，本基金所申报的股票数量不超过拟发行股票公司本次发行股票的总量；</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lastRenderedPageBreak/>
        <w:t>（13）本基金进入全国银行间同业市场进行债券回购的资金余额不得超过基金资产净值的40%；在全国银行间同业市场中的债券回购最长期限为1年，债券回购到期后</w:t>
      </w:r>
      <w:proofErr w:type="gramStart"/>
      <w:r w:rsidRPr="00372638">
        <w:rPr>
          <w:rFonts w:asciiTheme="minorEastAsia" w:hAnsiTheme="minorEastAsia" w:cs="Times New Roman" w:hint="eastAsia"/>
          <w:sz w:val="24"/>
          <w:szCs w:val="24"/>
        </w:rPr>
        <w:t>不</w:t>
      </w:r>
      <w:proofErr w:type="gramEnd"/>
      <w:r w:rsidRPr="00372638">
        <w:rPr>
          <w:rFonts w:asciiTheme="minorEastAsia" w:hAnsiTheme="minorEastAsia" w:cs="Times New Roman" w:hint="eastAsia"/>
          <w:sz w:val="24"/>
          <w:szCs w:val="24"/>
        </w:rPr>
        <w:t>展期；</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（14）本基金投资于同一原始权益人的各类资产支持证券的比例，不得超过基金资产净值的10%；</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（15）本基金持有的全部资产支持证券，其市值不得超过基金资产净值的20%；</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（16）本基金持有的同一（指同一信用级别）资产支持证券的比例，不得超过该资产支持证券规模的10%；</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（17）本基金管理人管理的且由本基金托管人托管的全部基金投资于同一原始权益人的各类资产支持证券，不得超过其各类资产支持证券合计规模的10%；</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（18）本基金应投资于信用级别评级为BBB以上（含BBB）的资产支持证券。基金持有资产支持证券期间，如果其信用等级下降、不再符合投资标准，应在评级报告发布之日起3个月内予以全部卖出；</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（19）本基金持有的全部权证，其市值不得超过基金资产净值的3％；</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（20）本基金管理人管理的且由本基金托管人托管的全部基金持有的同一权证，不得超过该权证的10％；</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（21）本基金在任何交易日买入权证的总金额，不得超过上一交易日基金资产净值的0.5％；</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（22）基金资产总值不得超过基金资产净值的140%；</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（23）本基金主动投资流动性受限资产的市值合计不得超过本</w:t>
      </w:r>
      <w:proofErr w:type="gramStart"/>
      <w:r w:rsidRPr="00372638">
        <w:rPr>
          <w:rFonts w:asciiTheme="minorEastAsia" w:hAnsiTheme="minorEastAsia" w:cs="Times New Roman" w:hint="eastAsia"/>
          <w:sz w:val="24"/>
          <w:szCs w:val="24"/>
        </w:rPr>
        <w:t>基金基金</w:t>
      </w:r>
      <w:proofErr w:type="gramEnd"/>
      <w:r w:rsidRPr="00372638">
        <w:rPr>
          <w:rFonts w:asciiTheme="minorEastAsia" w:hAnsiTheme="minorEastAsia" w:cs="Times New Roman" w:hint="eastAsia"/>
          <w:sz w:val="24"/>
          <w:szCs w:val="24"/>
        </w:rPr>
        <w:t>资产净值的15%；因证券市场波动、上市公司停牌、基金规模变动等基金管理人之外的因素致使基金投资比例不符合上述投资比例限制的，基金管理人不得主动新增流动性受限资产的投资；</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24）本基金管理人管理的且由本基金托管人托管的全部开放式基金（包括开放式基金以及处于开放期的定期开放基金，完全按照有关指数的构成比例进行证券投资的开放式基金以及中国证监会认可的特殊投资组合除外）持有一家上市公司发行的可流通股票，不得超过该上市公司可流通股票的15%；同一基金管理人管理的全部投资组合持有一家上市公司发行的可流通股票，不得超过该上市公司可流通股票的30%；</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（25）本基金与私募类</w:t>
      </w:r>
      <w:proofErr w:type="gramStart"/>
      <w:r w:rsidRPr="00372638">
        <w:rPr>
          <w:rFonts w:asciiTheme="minorEastAsia" w:hAnsiTheme="minorEastAsia" w:cs="Times New Roman" w:hint="eastAsia"/>
          <w:sz w:val="24"/>
          <w:szCs w:val="24"/>
        </w:rPr>
        <w:t>证券资管产品</w:t>
      </w:r>
      <w:proofErr w:type="gramEnd"/>
      <w:r w:rsidRPr="00372638">
        <w:rPr>
          <w:rFonts w:asciiTheme="minorEastAsia" w:hAnsiTheme="minorEastAsia" w:cs="Times New Roman" w:hint="eastAsia"/>
          <w:sz w:val="24"/>
          <w:szCs w:val="24"/>
        </w:rPr>
        <w:t>及中国证监会认定的其他主体为交易对</w:t>
      </w:r>
      <w:r w:rsidRPr="00372638">
        <w:rPr>
          <w:rFonts w:asciiTheme="minorEastAsia" w:hAnsiTheme="minorEastAsia" w:cs="Times New Roman" w:hint="eastAsia"/>
          <w:sz w:val="24"/>
          <w:szCs w:val="24"/>
        </w:rPr>
        <w:lastRenderedPageBreak/>
        <w:t>手方开展逆回购交易的，可接受质押品的资质要求应当与基金合同约定的投资范围保持一致。</w:t>
      </w:r>
    </w:p>
    <w:p w:rsidR="00C81E02"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w:t>
      </w:r>
      <w:r w:rsidR="006A1C9D" w:rsidRPr="00372638">
        <w:rPr>
          <w:rFonts w:asciiTheme="minorEastAsia" w:hAnsiTheme="minorEastAsia" w:cs="Times New Roman"/>
          <w:sz w:val="24"/>
          <w:szCs w:val="24"/>
        </w:rPr>
        <w:t>6</w:t>
      </w:r>
      <w:r w:rsidRPr="00372638">
        <w:rPr>
          <w:rFonts w:asciiTheme="minorEastAsia" w:hAnsiTheme="minorEastAsia" w:cs="Times New Roman" w:hint="eastAsia"/>
          <w:sz w:val="24"/>
          <w:szCs w:val="24"/>
        </w:rPr>
        <w:t>）本基金投资于货币市场基金的比例不超过基金资产的5%；</w:t>
      </w:r>
    </w:p>
    <w:p w:rsidR="00C71947" w:rsidRPr="00372638" w:rsidRDefault="00C81E02"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w:t>
      </w:r>
      <w:r w:rsidR="006A1C9D" w:rsidRPr="00372638">
        <w:rPr>
          <w:rFonts w:asciiTheme="minorEastAsia" w:hAnsiTheme="minorEastAsia" w:cs="Times New Roman"/>
          <w:sz w:val="24"/>
          <w:szCs w:val="24"/>
        </w:rPr>
        <w:t>7</w:t>
      </w:r>
      <w:r w:rsidRPr="00372638">
        <w:rPr>
          <w:rFonts w:asciiTheme="minorEastAsia" w:hAnsiTheme="minorEastAsia" w:cs="Times New Roman" w:hint="eastAsia"/>
          <w:sz w:val="24"/>
          <w:szCs w:val="24"/>
        </w:rPr>
        <w:t>）本基金投资于商品基金（</w:t>
      </w:r>
      <w:proofErr w:type="gramStart"/>
      <w:r w:rsidRPr="00372638">
        <w:rPr>
          <w:rFonts w:asciiTheme="minorEastAsia" w:hAnsiTheme="minorEastAsia" w:cs="Times New Roman" w:hint="eastAsia"/>
          <w:sz w:val="24"/>
          <w:szCs w:val="24"/>
        </w:rPr>
        <w:t>含商品</w:t>
      </w:r>
      <w:proofErr w:type="gramEnd"/>
      <w:r w:rsidRPr="00372638">
        <w:rPr>
          <w:rFonts w:asciiTheme="minorEastAsia" w:hAnsiTheme="minorEastAsia" w:cs="Times New Roman" w:hint="eastAsia"/>
          <w:sz w:val="24"/>
          <w:szCs w:val="24"/>
        </w:rPr>
        <w:t>期货基金和黄金ETF）的比例不超过基金资产的10%；</w:t>
      </w:r>
    </w:p>
    <w:p w:rsidR="00C71947" w:rsidRPr="00372638" w:rsidRDefault="00C71947"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《基金法》及其他有关法律法规或监管部门取消或变更上述限制的，履行适当程序后，基金不受上述限制或按变更后的规定执行。</w:t>
      </w:r>
    </w:p>
    <w:p w:rsidR="006A1C9D" w:rsidRPr="00372638" w:rsidRDefault="006A1C9D"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因证券市场波动、基金规模变动等基金管理人之外的因素致使基金投资比例不符合上述第（3）、（4）项规定投资比例的，基金管理人应当在20个交易日内进行调整，但中国证监会规定的特殊情形除外。</w:t>
      </w:r>
    </w:p>
    <w:p w:rsidR="006A1C9D" w:rsidRPr="00372638" w:rsidRDefault="006A1C9D"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因证券市场波动、证券发行人合并、基金规模变动等基金管理人之外的因素致使基金投资比例不符合上述规定投资比例的，对于除第（2）、（3）、（4）、（5）、（6）、（7）、（18）、（23）、（25）项规定的其他情形，基金管理人应当在10个交易日内进行调整，但中国证监会规定的特殊情形除外。法律法规另有规定的从其规定。</w:t>
      </w:r>
    </w:p>
    <w:p w:rsidR="006A1C9D" w:rsidRPr="00372638" w:rsidRDefault="006A1C9D"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基金管理人应当自基金转型之日起6个月内使基金的投资组合比例符合基金合同的有关约定。上述期间内，本基金的投资范围、投资策略应当符合基金合同的约定。</w:t>
      </w:r>
    </w:p>
    <w:p w:rsidR="00C71947" w:rsidRPr="00372638" w:rsidRDefault="006A1C9D"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法律法规或监管部门取消或变更上述限制，如适用于本基金，基金管理人在履行适当程序后，则本基金投资不再受相关限制或按变更后的规定执行。</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（三）基金托管人</w:t>
      </w:r>
      <w:bookmarkStart w:id="5" w:name="OLE_LINK1"/>
      <w:r w:rsidRPr="00372638">
        <w:rPr>
          <w:rFonts w:asciiTheme="minorEastAsia" w:hAnsiTheme="minorEastAsia" w:cs="Arial" w:hint="eastAsia"/>
          <w:sz w:val="24"/>
          <w:szCs w:val="24"/>
        </w:rPr>
        <w:t>根据有关法律法规的规定及《基金合同》的约定，</w:t>
      </w:r>
      <w:bookmarkEnd w:id="5"/>
      <w:r w:rsidRPr="00372638">
        <w:rPr>
          <w:rFonts w:asciiTheme="minorEastAsia" w:hAnsiTheme="minorEastAsia" w:cs="Arial" w:hint="eastAsia"/>
          <w:sz w:val="24"/>
          <w:szCs w:val="24"/>
        </w:rPr>
        <w:t>对本托管协议第十五条第九款基金投资禁止行为通过事后监督方式进行监督。</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本基金投资基金管理人或基金管理人关联方管理基金的情况，不属于前述重大关联交易，但是应当按照法律法规或监管规定的要求履行信息披露义务。</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（四）基金托管人根据有关法律法规的规定及《基金合同》的约定，对基金管</w:t>
      </w:r>
      <w:r w:rsidRPr="00372638">
        <w:rPr>
          <w:rFonts w:asciiTheme="minorEastAsia" w:hAnsiTheme="minorEastAsia" w:cs="Arial" w:hint="eastAsia"/>
          <w:sz w:val="24"/>
          <w:szCs w:val="24"/>
        </w:rPr>
        <w:lastRenderedPageBreak/>
        <w:t>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color w:val="000000"/>
          <w:sz w:val="24"/>
          <w:szCs w:val="24"/>
        </w:rPr>
        <w:t>基金管理人负责对交易对手的资信控制，按银行间债券市场的交易规则进行交易，并</w:t>
      </w:r>
      <w:r w:rsidRPr="00372638">
        <w:rPr>
          <w:rFonts w:asciiTheme="minorEastAsia" w:hAnsiTheme="minorEastAsia"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372638">
        <w:rPr>
          <w:rFonts w:asciiTheme="minorEastAsia" w:hAnsiTheme="minorEastAsia"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（五）基金托管人根据有关法律法规的规定及《基金合同》的约定，对基金管理人投资流通受限证券进行监督。</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Times New Roman" w:hint="eastAsia"/>
          <w:sz w:val="24"/>
          <w:szCs w:val="24"/>
        </w:rPr>
        <w:t>基金管理人投资流通受限证券，应事先根据中国证监会相关规定，明确基金投资流通受限证券的比例，</w:t>
      </w:r>
      <w:r w:rsidRPr="00372638">
        <w:rPr>
          <w:rFonts w:asciiTheme="minorEastAsia" w:hAnsiTheme="minorEastAsia"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1.本基金</w:t>
      </w:r>
      <w:r w:rsidRPr="00372638">
        <w:rPr>
          <w:rFonts w:asciiTheme="minorEastAsia" w:hAnsiTheme="minorEastAsia" w:cs="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372638">
        <w:rPr>
          <w:rFonts w:asciiTheme="minorEastAsia" w:hAnsiTheme="minorEastAsia" w:cs="Times New Roman" w:hint="eastAsia"/>
          <w:sz w:val="24"/>
          <w:szCs w:val="24"/>
        </w:rPr>
        <w:t>券</w:t>
      </w:r>
      <w:proofErr w:type="gramEnd"/>
      <w:r w:rsidRPr="00372638">
        <w:rPr>
          <w:rFonts w:asciiTheme="minorEastAsia" w:hAnsiTheme="minorEastAsia" w:cs="Times New Roman" w:hint="eastAsia"/>
          <w:sz w:val="24"/>
          <w:szCs w:val="24"/>
        </w:rPr>
        <w:t>等流通受限证券。本基金不投资有</w:t>
      </w:r>
      <w:proofErr w:type="gramStart"/>
      <w:r w:rsidRPr="00372638">
        <w:rPr>
          <w:rFonts w:asciiTheme="minorEastAsia" w:hAnsiTheme="minorEastAsia" w:cs="Times New Roman" w:hint="eastAsia"/>
          <w:sz w:val="24"/>
          <w:szCs w:val="24"/>
        </w:rPr>
        <w:t>锁定期但锁定</w:t>
      </w:r>
      <w:proofErr w:type="gramEnd"/>
      <w:r w:rsidRPr="00372638">
        <w:rPr>
          <w:rFonts w:asciiTheme="minorEastAsia" w:hAnsiTheme="minorEastAsia" w:cs="Times New Roman" w:hint="eastAsia"/>
          <w:sz w:val="24"/>
          <w:szCs w:val="24"/>
        </w:rPr>
        <w:t>期不明确的证券。</w:t>
      </w:r>
    </w:p>
    <w:p w:rsidR="00CD3688" w:rsidRPr="00372638" w:rsidRDefault="00CD3688" w:rsidP="00372638">
      <w:pPr>
        <w:adjustRightInd w:val="0"/>
        <w:snapToGrid w:val="0"/>
        <w:spacing w:line="360" w:lineRule="auto"/>
        <w:ind w:firstLineChars="200" w:firstLine="480"/>
        <w:rPr>
          <w:rFonts w:asciiTheme="minorEastAsia" w:hAnsiTheme="minorEastAsia" w:cs="Times New Roman"/>
          <w:sz w:val="24"/>
          <w:szCs w:val="24"/>
        </w:rPr>
      </w:pP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本基金</w:t>
      </w:r>
      <w:r w:rsidRPr="00372638">
        <w:rPr>
          <w:rFonts w:asciiTheme="minorEastAsia" w:hAnsiTheme="minorEastAsia" w:cs="Times New Roman" w:hint="eastAsia"/>
          <w:sz w:val="24"/>
          <w:szCs w:val="24"/>
        </w:rPr>
        <w:t>投资的流通受限证券限于可由中国证券登记结算有限责任公司或中央</w:t>
      </w:r>
      <w:r w:rsidRPr="00372638">
        <w:rPr>
          <w:rFonts w:asciiTheme="minorEastAsia" w:hAnsiTheme="minorEastAsia" w:cs="Times New Roman" w:hint="eastAsia"/>
          <w:sz w:val="24"/>
          <w:szCs w:val="24"/>
        </w:rPr>
        <w:lastRenderedPageBreak/>
        <w:t>国债登记结算有限责任公司负责登记和存管，并可在证券交易所或全国银行间债券市场交易的证券。</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本基金</w:t>
      </w:r>
      <w:r w:rsidRPr="00372638">
        <w:rPr>
          <w:rFonts w:asciiTheme="minorEastAsia" w:hAnsiTheme="minorEastAsia" w:cs="Times New Roman" w:hint="eastAsia"/>
          <w:sz w:val="24"/>
          <w:szCs w:val="24"/>
        </w:rPr>
        <w:t>投资的流通受限证券应保证登记存管在本基金名下，基金管理人负责相关工作的落实和协调，并确保基金托管人能够正常查询。因基金管理</w:t>
      </w:r>
      <w:proofErr w:type="gramStart"/>
      <w:r w:rsidRPr="00372638">
        <w:rPr>
          <w:rFonts w:asciiTheme="minorEastAsia" w:hAnsiTheme="minorEastAsia" w:cs="Times New Roman" w:hint="eastAsia"/>
          <w:sz w:val="24"/>
          <w:szCs w:val="24"/>
        </w:rPr>
        <w:t>人原因</w:t>
      </w:r>
      <w:proofErr w:type="gramEnd"/>
      <w:r w:rsidRPr="00372638">
        <w:rPr>
          <w:rFonts w:asciiTheme="minorEastAsia" w:hAnsiTheme="minorEastAsia" w:cs="Times New Roman" w:hint="eastAsia"/>
          <w:sz w:val="24"/>
          <w:szCs w:val="24"/>
        </w:rPr>
        <w:t>产生的流通受限证券登记存管问题，造成基金托管人无法安全保管本基金资产的责任与损失，及因流通受限证券存管直接影响本基金安全的责任及损失，由基金管理人承担。</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本基金</w:t>
      </w:r>
      <w:r w:rsidRPr="00372638">
        <w:rPr>
          <w:rFonts w:asciiTheme="minorEastAsia" w:hAnsiTheme="minorEastAsia" w:cs="Times New Roman" w:hint="eastAsia"/>
          <w:sz w:val="24"/>
          <w:szCs w:val="24"/>
        </w:rPr>
        <w:t>投资流通受限证券，不得预付任何形式的保证金。</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2.</w:t>
      </w:r>
      <w:r w:rsidRPr="00372638">
        <w:rPr>
          <w:rFonts w:asciiTheme="minorEastAsia" w:hAnsiTheme="minorEastAsia" w:cs="Times New Roman" w:hint="eastAsia"/>
          <w:sz w:val="24"/>
          <w:szCs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372638">
        <w:rPr>
          <w:rFonts w:asciiTheme="minorEastAsia" w:hAnsiTheme="minorEastAsia" w:cs="Arial" w:hint="eastAsia"/>
          <w:sz w:val="24"/>
          <w:szCs w:val="24"/>
        </w:rPr>
        <w:t>基金管理人应在首次投资流通受限证券前向基金托管人提供</w:t>
      </w:r>
      <w:r w:rsidRPr="00372638">
        <w:rPr>
          <w:rFonts w:asciiTheme="minorEastAsia" w:hAnsiTheme="minorEastAsia" w:cs="Times New Roman" w:hint="eastAsia"/>
          <w:sz w:val="24"/>
          <w:szCs w:val="24"/>
        </w:rPr>
        <w:t>基金投资非公开发行股票相关流动性风险处置预案。</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372638">
        <w:rPr>
          <w:rFonts w:asciiTheme="minorEastAsia" w:hAnsiTheme="minorEastAsia" w:cs="Times New Roman" w:hint="eastAsia"/>
          <w:sz w:val="24"/>
          <w:szCs w:val="24"/>
        </w:rPr>
        <w:t>人原因</w:t>
      </w:r>
      <w:proofErr w:type="gramEnd"/>
      <w:r w:rsidRPr="00372638">
        <w:rPr>
          <w:rFonts w:asciiTheme="minorEastAsia" w:hAnsiTheme="minorEastAsia" w:cs="Times New Roman" w:hint="eastAsia"/>
          <w:sz w:val="24"/>
          <w:szCs w:val="24"/>
        </w:rPr>
        <w:t>导致本基金出现损失致使基金托管人承担连带赔偿责任的，基金管理人应赔偿基金托管人由此遭受的损失。</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3.</w:t>
      </w:r>
      <w:r w:rsidRPr="00372638">
        <w:rPr>
          <w:rFonts w:asciiTheme="minorEastAsia" w:hAnsiTheme="minorEastAsia"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（1）中国证监会批准发行非公开发行股票的批准文件。</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（2）非公开发行股票有关发行数量、发行价格、锁定期等发行资料。</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（3）非公开发行股票发行人与中国证券登记结算有限责任公司或中央国债登记结算有限责任公司签订的证券登记及服务协议。</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Times New Roman" w:hint="eastAsia"/>
          <w:sz w:val="24"/>
          <w:szCs w:val="24"/>
        </w:rPr>
        <w:t>（4）基金拟认购的数量、价格、总成本、账面价值。</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4.</w:t>
      </w:r>
      <w:r w:rsidRPr="00372638">
        <w:rPr>
          <w:rFonts w:asciiTheme="minorEastAsia" w:hAnsiTheme="minorEastAsia" w:cs="Times New Roman" w:hint="eastAsia"/>
          <w:sz w:val="24"/>
          <w:szCs w:val="24"/>
        </w:rPr>
        <w:t>基金管理人应在本基金投资非公开发行股票后两个交易日内，在中国证监</w:t>
      </w:r>
      <w:r w:rsidRPr="00372638">
        <w:rPr>
          <w:rFonts w:asciiTheme="minorEastAsia" w:hAnsiTheme="minorEastAsia" w:cs="Times New Roman" w:hint="eastAsia"/>
          <w:sz w:val="24"/>
          <w:szCs w:val="24"/>
        </w:rPr>
        <w:lastRenderedPageBreak/>
        <w:t>会指定媒体披露所投资非公开发行股票的名称、数量、总成本、账面价值，以及总成本和账面价值占基金资产净值的比例、锁定期等信息。</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本基金有关投资流通受限证券比例如违反有关限制规定，在合理期限内未能进行及时调整，基金管理人应在两个工作日内编制临时报告书，予以公告。</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5.</w:t>
      </w:r>
      <w:r w:rsidRPr="00372638">
        <w:rPr>
          <w:rFonts w:asciiTheme="minorEastAsia" w:hAnsiTheme="minorEastAsia" w:cs="Times New Roman" w:hint="eastAsia"/>
          <w:sz w:val="24"/>
          <w:szCs w:val="24"/>
        </w:rPr>
        <w:t>基金托管人根据有关规定有权对基金管理人进行以下事项监督：</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（1）本基金投资流通受限证券时的法律法规遵守情况。</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（2）在基金投资流通受限证券管理工作方面有关制度、流动性风险处置预案的建立与完善情况。</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（3）有关比例限制的执行情况。</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（4）信息披露情况。</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6.</w:t>
      </w:r>
      <w:r w:rsidRPr="00372638">
        <w:rPr>
          <w:rFonts w:asciiTheme="minorEastAsia" w:hAnsiTheme="minorEastAsia" w:cs="Times New Roman" w:hint="eastAsia"/>
          <w:sz w:val="24"/>
          <w:szCs w:val="24"/>
        </w:rPr>
        <w:t>相关法律法规对基金投资流通受限证券有新规定的，从其规定。</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（九）</w:t>
      </w:r>
      <w:proofErr w:type="gramStart"/>
      <w:r w:rsidRPr="00372638">
        <w:rPr>
          <w:rFonts w:asciiTheme="minorEastAsia" w:hAnsiTheme="minorEastAsia" w:cs="Arial" w:hint="eastAsia"/>
          <w:sz w:val="24"/>
          <w:szCs w:val="24"/>
        </w:rPr>
        <w:t>若基金</w:t>
      </w:r>
      <w:proofErr w:type="gramEnd"/>
      <w:r w:rsidRPr="00372638">
        <w:rPr>
          <w:rFonts w:asciiTheme="minorEastAsia" w:hAnsiTheme="minorEastAsia" w:cs="Arial" w:hint="eastAsia"/>
          <w:sz w:val="24"/>
          <w:szCs w:val="24"/>
        </w:rPr>
        <w:t>托管人发现基金管理人依据交易程序已经生效的指令违反法律、行政法规和其他有关规定，或者违反《基金合同》约定的，应当立即通知基金管理</w:t>
      </w:r>
      <w:r w:rsidRPr="00372638">
        <w:rPr>
          <w:rFonts w:asciiTheme="minorEastAsia" w:hAnsiTheme="minorEastAsia" w:cs="Arial" w:hint="eastAsia"/>
          <w:sz w:val="24"/>
          <w:szCs w:val="24"/>
        </w:rPr>
        <w:lastRenderedPageBreak/>
        <w:t>人，由此造成的损失由基金管理人承担。</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B333BC" w:rsidRPr="00372638" w:rsidRDefault="00B333BC" w:rsidP="00372638">
      <w:pPr>
        <w:spacing w:line="360" w:lineRule="auto"/>
        <w:rPr>
          <w:rFonts w:asciiTheme="minorEastAsia" w:hAnsiTheme="minorEastAsia" w:cs="Times New Roman"/>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372638">
        <w:rPr>
          <w:rFonts w:asciiTheme="minorEastAsia" w:hAnsiTheme="minorEastAsia" w:cs="Times New Roman" w:hint="eastAsia"/>
          <w:b/>
          <w:sz w:val="24"/>
          <w:szCs w:val="24"/>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一）基金管理人对基金托管人履行托管职责情况进行核查，核查事项包括基金托管人安全保管基金财产、开设基金财产的资金账户、证券账户、复核基金管理人计算的基金资产净值和基金份额净值、根据基金管理人指令办理清算交收、相关信息披露和监督基金投资运作等行为。</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372638">
        <w:rPr>
          <w:rFonts w:asciiTheme="minorEastAsia" w:hAnsiTheme="minorEastAsia" w:cs="Arial" w:hint="eastAsia"/>
          <w:sz w:val="24"/>
          <w:szCs w:val="24"/>
        </w:rPr>
        <w:t>供基金</w:t>
      </w:r>
      <w:proofErr w:type="gramEnd"/>
      <w:r w:rsidRPr="00372638">
        <w:rPr>
          <w:rFonts w:asciiTheme="minorEastAsia" w:hAnsiTheme="minorEastAsia" w:cs="Arial" w:hint="eastAsia"/>
          <w:sz w:val="24"/>
          <w:szCs w:val="24"/>
        </w:rPr>
        <w:t>管理人核查托管财产的完整性和真实性，在规定时间内答复基金管理人并改正。</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333BC" w:rsidRPr="00372638" w:rsidRDefault="00B333BC" w:rsidP="00372638">
      <w:pPr>
        <w:spacing w:line="360" w:lineRule="auto"/>
        <w:rPr>
          <w:rFonts w:asciiTheme="minorEastAsia" w:hAnsiTheme="minorEastAsia" w:cs="Times New Roman"/>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372638">
        <w:rPr>
          <w:rFonts w:asciiTheme="minorEastAsia" w:hAnsiTheme="minorEastAsia" w:cs="Times New Roman" w:hint="eastAsia"/>
          <w:b/>
          <w:sz w:val="24"/>
          <w:szCs w:val="24"/>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（一）基金财产保管的原则</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lastRenderedPageBreak/>
        <w:t>1.基金财产应独立于基金管理人、基金托管人的固有财产。</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2.基金托管人应安全保管基金财产。</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3.基金托管人按照规定开设基金财产的资金账户、证券账户等投资所需的账户。</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4.基金托管人对所托管的不同基金财产分别设置账户，独立核算，确保基金财产的完整与独立。</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5.基金托管人按照《基金合同》和本协议的约定保管基金财产，如有特殊情况双方可另行协商解决。基金</w:t>
      </w:r>
      <w:r w:rsidRPr="00372638">
        <w:rPr>
          <w:rFonts w:asciiTheme="minorEastAsia" w:hAnsiTheme="minorEastAsia"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sidRPr="00372638">
        <w:rPr>
          <w:rFonts w:asciiTheme="minorEastAsia" w:hAnsiTheme="minorEastAsia" w:cs="Times New Roman" w:hint="eastAsia"/>
          <w:sz w:val="24"/>
          <w:szCs w:val="24"/>
        </w:rPr>
        <w:t>收交易</w:t>
      </w:r>
      <w:proofErr w:type="gramEnd"/>
      <w:r w:rsidRPr="00372638">
        <w:rPr>
          <w:rFonts w:asciiTheme="minorEastAsia" w:hAnsiTheme="minorEastAsia" w:cs="Times New Roman" w:hint="eastAsia"/>
          <w:sz w:val="24"/>
          <w:szCs w:val="24"/>
        </w:rPr>
        <w:t>费、结算费和账户维护费等费用）。</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7.除依据法律法规和《基金合同》的规定外，基金托管人不得委托第三人托管基金财产。</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（二）基金募集期间及募集资金的验资</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1.基金募集期间募集的资金应存于基金管理人在基金托管人的营业机构开立的“基金募集专户”。该账户由基金管理人开立并管理。</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3.</w:t>
      </w:r>
      <w:proofErr w:type="gramStart"/>
      <w:r w:rsidRPr="00372638">
        <w:rPr>
          <w:rFonts w:asciiTheme="minorEastAsia" w:hAnsiTheme="minorEastAsia" w:cs="Arial" w:hint="eastAsia"/>
          <w:sz w:val="24"/>
          <w:szCs w:val="24"/>
        </w:rPr>
        <w:t>若基金</w:t>
      </w:r>
      <w:proofErr w:type="gramEnd"/>
      <w:r w:rsidRPr="00372638">
        <w:rPr>
          <w:rFonts w:asciiTheme="minorEastAsia" w:hAnsiTheme="minorEastAsia" w:cs="Arial" w:hint="eastAsia"/>
          <w:sz w:val="24"/>
          <w:szCs w:val="24"/>
        </w:rPr>
        <w:t>募集期限届满，未能达到《基金合同》生效的条件，由基金管理人按规定办理退款等事宜。</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（三）基金银行账户的开立和管理</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1.基金托管人应以基金的名义在其营业机构开立基金的银行账户，并根据基金管理人合法合</w:t>
      </w:r>
      <w:proofErr w:type="gramStart"/>
      <w:r w:rsidRPr="00372638">
        <w:rPr>
          <w:rFonts w:asciiTheme="minorEastAsia" w:hAnsiTheme="minorEastAsia" w:cs="Arial" w:hint="eastAsia"/>
          <w:sz w:val="24"/>
          <w:szCs w:val="24"/>
        </w:rPr>
        <w:t>规</w:t>
      </w:r>
      <w:proofErr w:type="gramEnd"/>
      <w:r w:rsidRPr="00372638">
        <w:rPr>
          <w:rFonts w:asciiTheme="minorEastAsia" w:hAnsiTheme="minorEastAsia" w:cs="Arial" w:hint="eastAsia"/>
          <w:sz w:val="24"/>
          <w:szCs w:val="24"/>
        </w:rPr>
        <w:t>的指令办理资金收付。本基金的银行预留印鉴由基金托管人保</w:t>
      </w:r>
      <w:r w:rsidRPr="00372638">
        <w:rPr>
          <w:rFonts w:asciiTheme="minorEastAsia" w:hAnsiTheme="minorEastAsia" w:cs="Arial" w:hint="eastAsia"/>
          <w:sz w:val="24"/>
          <w:szCs w:val="24"/>
        </w:rPr>
        <w:lastRenderedPageBreak/>
        <w:t>管和使用。</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3.基金银行账户的开立和管理应符合银行业监督管理机构的有关规定。</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4.在符合法律法规规定的条件下，基金托管人可以通过基金托管人专用账户办理基金资产的支付。</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（四）基金证券账户和结算备付金账户的开立和管理</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1.基金托管人在中国证券登记结算有限责任公司为基金开立基金托管人与基金联名的证券账户。</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3.基金证券账户的开立和证券账户卡的保管由基金托管人负责，账户资产的管理和运用由基金管理人负责。</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证券账户开户费由基金管理人先行垫付,待托管产品启始运营后,基金管理人可向基金托管人发送划款指令,将代垫开户费从本基金托管资金账户中扣还基金管理人。</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372638">
        <w:rPr>
          <w:rFonts w:asciiTheme="minorEastAsia" w:hAnsiTheme="minorEastAsia" w:cs="Arial" w:hint="eastAsia"/>
          <w:sz w:val="24"/>
          <w:szCs w:val="24"/>
        </w:rPr>
        <w:t>收资金</w:t>
      </w:r>
      <w:proofErr w:type="gramEnd"/>
      <w:r w:rsidRPr="00372638">
        <w:rPr>
          <w:rFonts w:asciiTheme="minorEastAsia" w:hAnsiTheme="minorEastAsia" w:cs="Arial" w:hint="eastAsia"/>
          <w:sz w:val="24"/>
          <w:szCs w:val="24"/>
        </w:rPr>
        <w:t>等的收取按照中国证券登记结算有限责任公司的规定以及基金管理人与基金托管人签署的《托管银行证券资金结算协议》执行。</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5、账户注销时，由基金管理人依据中国证券登记结算公司相关规定，委托有交易关系的证券公司负责办理。销户完成后，基金管理人需将相关证明提供至基金托管人。账户注销期间如</w:t>
      </w:r>
      <w:proofErr w:type="gramStart"/>
      <w:r w:rsidRPr="00372638">
        <w:rPr>
          <w:rFonts w:asciiTheme="minorEastAsia" w:hAnsiTheme="minorEastAsia" w:cs="Arial" w:hint="eastAsia"/>
          <w:sz w:val="24"/>
          <w:szCs w:val="24"/>
        </w:rPr>
        <w:t>需基金</w:t>
      </w:r>
      <w:proofErr w:type="gramEnd"/>
      <w:r w:rsidRPr="00372638">
        <w:rPr>
          <w:rFonts w:asciiTheme="minorEastAsia" w:hAnsiTheme="minorEastAsia" w:cs="Arial" w:hint="eastAsia"/>
          <w:sz w:val="24"/>
          <w:szCs w:val="24"/>
        </w:rPr>
        <w:t>托管人提供配合的，基金托管人应予以配合。</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6.若中国证监会或其他监管机构在本托管协议订立日之后允许基金从事其他投资品种的投资业务，涉及相关账户的开立、使用的，若无相关规定，</w:t>
      </w:r>
      <w:proofErr w:type="gramStart"/>
      <w:r w:rsidRPr="00372638">
        <w:rPr>
          <w:rFonts w:asciiTheme="minorEastAsia" w:hAnsiTheme="minorEastAsia" w:cs="Arial" w:hint="eastAsia"/>
          <w:sz w:val="24"/>
          <w:szCs w:val="24"/>
        </w:rPr>
        <w:t>则基金</w:t>
      </w:r>
      <w:proofErr w:type="gramEnd"/>
      <w:r w:rsidRPr="00372638">
        <w:rPr>
          <w:rFonts w:asciiTheme="minorEastAsia" w:hAnsiTheme="minorEastAsia" w:cs="Arial" w:hint="eastAsia"/>
          <w:sz w:val="24"/>
          <w:szCs w:val="24"/>
        </w:rPr>
        <w:t>托管人比照上述关于账户开立、使用的规定执行。</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（五）债券托管账户的开设和管理</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（六）其他账户的开立和管理</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2.法律法规等有关规定对相关账户的开立和管理另有规定的，从其规定办理。</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（七）基金财产投资的有关有价凭证等的保管</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基金财产投资的有关实物证券、银行</w:t>
      </w:r>
      <w:r w:rsidRPr="00372638">
        <w:rPr>
          <w:rFonts w:asciiTheme="minorEastAsia" w:hAnsiTheme="minorEastAsia" w:cs="Times New Roman" w:hint="eastAsia"/>
          <w:sz w:val="24"/>
          <w:szCs w:val="24"/>
        </w:rPr>
        <w:t>存款开户证实书</w:t>
      </w:r>
      <w:r w:rsidRPr="00372638">
        <w:rPr>
          <w:rFonts w:asciiTheme="minorEastAsia" w:hAnsiTheme="minorEastAsia" w:cs="Arial" w:hint="eastAsia"/>
          <w:sz w:val="24"/>
          <w:szCs w:val="24"/>
        </w:rPr>
        <w:t>等有价凭证由基金托管人存放于基金托管人的保管库，也可存入中央国债登记结算有限责任公司、银行间市场清算所股份有限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（八）与基金财产有关的重大合同的保管</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B333BC" w:rsidRPr="00372638" w:rsidRDefault="00B333BC" w:rsidP="00372638">
      <w:pPr>
        <w:spacing w:line="360" w:lineRule="auto"/>
        <w:rPr>
          <w:rFonts w:asciiTheme="minorEastAsia" w:hAnsiTheme="minorEastAsia" w:cs="Times New Roman"/>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372638">
        <w:rPr>
          <w:rFonts w:asciiTheme="minorEastAsia" w:hAnsiTheme="minorEastAsia" w:cs="Times New Roman" w:hint="eastAsia"/>
          <w:b/>
          <w:sz w:val="24"/>
          <w:szCs w:val="24"/>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基金管理人在运用基金财产时向基金托管人发送资金划拨及其他款项付款指令，基金托管人执行基金管理人的指令、办理基金名下的资金往来等有关事项。</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（一）基金管理人对发送指令人员的书面授权</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1.基金管理人应指定专人向基金托管人发送指令。</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2.基金管理人应向基金托管人提供书面授权文件，内容包括被授权人名单、预留印鉴及被授权人签字样本，授权文件应注明被授权人相应的权限。</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4.基金管理人和基金托管人对授权文件负有保密义务，其内容不得向被授权人及相关操作人员以外的任何人泄露。但法律法规规定或有权机关要求的除外。</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（二）指令的内容</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1.指令包括付款指令以及其他资金划拨指令等。</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2.基金管理人发给基金托管人的指令应写明款项事由、支付时间、到账时间、金额、账户等，加盖预留印鉴并由被授权人签字。</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（三）指令的发送、确认及执行的时间和程序</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1.指令的发送</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基金管理人发送指令应采用加密传真方式或双方协商一致的其他方式。</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指令发出后，基金管理人应及时以电话方式向基金托管人确认。</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Times New Roman" w:hint="eastAsia"/>
          <w:sz w:val="24"/>
          <w:szCs w:val="24"/>
        </w:rPr>
        <w:t>基金管理人应在银行间交易成交后，及时将通知单、相关文件及划款指令加盖印章后发至基金托管人并电话确认，由基金托管人完成后台交易匹配及资金交收</w:t>
      </w:r>
      <w:r w:rsidRPr="00372638">
        <w:rPr>
          <w:rFonts w:asciiTheme="minorEastAsia" w:hAnsiTheme="minorEastAsia" w:cs="Times New Roman" w:hint="eastAsia"/>
          <w:sz w:val="24"/>
          <w:szCs w:val="24"/>
        </w:rPr>
        <w:lastRenderedPageBreak/>
        <w:t>事宜。如果银行间结算系统已经生成的交易需要取消或终止，基金管理人要书面通知基金托管人。</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2.指令的确认</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3.指令的时间和执行</w:t>
      </w:r>
    </w:p>
    <w:p w:rsidR="00B333BC" w:rsidRPr="00372638" w:rsidRDefault="00B333BC" w:rsidP="00372638">
      <w:pPr>
        <w:adjustRightInd w:val="0"/>
        <w:snapToGrid w:val="0"/>
        <w:spacing w:line="360" w:lineRule="auto"/>
        <w:ind w:firstLine="480"/>
        <w:rPr>
          <w:rFonts w:asciiTheme="minorEastAsia" w:hAnsiTheme="minorEastAsia" w:cs="Arial"/>
          <w:sz w:val="24"/>
          <w:szCs w:val="24"/>
          <w:shd w:val="pct15" w:color="auto" w:fill="FFFFFF"/>
        </w:rPr>
      </w:pPr>
      <w:r w:rsidRPr="00372638">
        <w:rPr>
          <w:rFonts w:asciiTheme="minorEastAsia" w:hAnsiTheme="minorEastAsia" w:cs="Arial" w:hint="eastAsia"/>
          <w:sz w:val="24"/>
          <w:szCs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基金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（四）基金管理人发送错误指令的情形和处理程序</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基金管理人发送错误指令的情形包括指令违反法律法规和《基金合同》，指令发送人员无权或超越权限发送指令。</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（五）基金托管人依照法律法规暂缓、拒绝执行指令的情形和处理程序</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proofErr w:type="gramStart"/>
      <w:r w:rsidRPr="00372638">
        <w:rPr>
          <w:rFonts w:asciiTheme="minorEastAsia" w:hAnsiTheme="minorEastAsia" w:cs="Arial" w:hint="eastAsia"/>
          <w:sz w:val="24"/>
          <w:szCs w:val="24"/>
        </w:rPr>
        <w:t>若基金</w:t>
      </w:r>
      <w:proofErr w:type="gramEnd"/>
      <w:r w:rsidRPr="00372638">
        <w:rPr>
          <w:rFonts w:asciiTheme="minorEastAsia" w:hAnsiTheme="minorEastAsia" w:cs="Arial" w:hint="eastAsia"/>
          <w:sz w:val="24"/>
          <w:szCs w:val="24"/>
        </w:rPr>
        <w:t>托管人发现基金管理人的指令违反法律法规，或者违反《基金合同》约</w:t>
      </w:r>
      <w:r w:rsidRPr="00372638">
        <w:rPr>
          <w:rFonts w:asciiTheme="minorEastAsia" w:hAnsiTheme="minorEastAsia" w:cs="Arial" w:hint="eastAsia"/>
          <w:sz w:val="24"/>
          <w:szCs w:val="24"/>
        </w:rPr>
        <w:lastRenderedPageBreak/>
        <w:t>定的，应当拒绝执行，立即通知基金管理人。</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（六）基金托管人未按照基金管理人指令执行的处理方法</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基金托管人由于自身原因，未按照基金管理人发送的指令执行并对基金财产或投资人造成的直接损失，由基金托管人</w:t>
      </w:r>
      <w:r w:rsidRPr="00372638">
        <w:rPr>
          <w:rFonts w:asciiTheme="minorEastAsia" w:hAnsiTheme="minorEastAsia" w:cs="Times New Roman" w:hint="eastAsia"/>
          <w:sz w:val="24"/>
          <w:szCs w:val="24"/>
        </w:rPr>
        <w:t>赔偿由此造成的直接损失。</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（七）更换被授权人的程序</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372638">
        <w:rPr>
          <w:rFonts w:asciiTheme="minorEastAsia" w:hAnsiTheme="minorEastAsia" w:cs="Arial" w:hint="eastAsia"/>
          <w:sz w:val="24"/>
          <w:szCs w:val="24"/>
        </w:rPr>
        <w:t>件内容</w:t>
      </w:r>
      <w:proofErr w:type="gramEnd"/>
      <w:r w:rsidRPr="00372638">
        <w:rPr>
          <w:rFonts w:asciiTheme="minorEastAsia" w:hAnsiTheme="minorEastAsia" w:cs="Arial" w:hint="eastAsia"/>
          <w:sz w:val="24"/>
          <w:szCs w:val="24"/>
        </w:rPr>
        <w:t>执行有关业务，如果新的授权文件正本与传真</w:t>
      </w:r>
      <w:proofErr w:type="gramStart"/>
      <w:r w:rsidRPr="00372638">
        <w:rPr>
          <w:rFonts w:asciiTheme="minorEastAsia" w:hAnsiTheme="minorEastAsia" w:cs="Arial" w:hint="eastAsia"/>
          <w:sz w:val="24"/>
          <w:szCs w:val="24"/>
        </w:rPr>
        <w:t>件内容</w:t>
      </w:r>
      <w:proofErr w:type="gramEnd"/>
      <w:r w:rsidRPr="00372638">
        <w:rPr>
          <w:rFonts w:asciiTheme="minorEastAsia" w:hAnsiTheme="minorEastAsia" w:cs="Arial" w:hint="eastAsia"/>
          <w:sz w:val="24"/>
          <w:szCs w:val="24"/>
        </w:rPr>
        <w:t>不同，由此产生的责任由基金管理人承担</w:t>
      </w:r>
      <w:r w:rsidRPr="00372638">
        <w:rPr>
          <w:rFonts w:asciiTheme="minorEastAsia" w:hAnsiTheme="minorEastAsia" w:cs="Times New Roman" w:hint="eastAsia"/>
          <w:sz w:val="24"/>
          <w:szCs w:val="24"/>
        </w:rPr>
        <w:t>。</w:t>
      </w:r>
      <w:r w:rsidRPr="00372638">
        <w:rPr>
          <w:rFonts w:asciiTheme="minorEastAsia" w:hAnsiTheme="minorEastAsia" w:cs="Arial" w:hint="eastAsia"/>
          <w:sz w:val="24"/>
          <w:szCs w:val="24"/>
        </w:rPr>
        <w:t>基金托管人更换接收基金管理人指令的人员，应提前通过录音电话通知基金管理人。</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（八）其他事项</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B333BC" w:rsidRPr="00372638" w:rsidRDefault="00B333BC" w:rsidP="00372638">
      <w:pPr>
        <w:adjustRightInd w:val="0"/>
        <w:snapToGrid w:val="0"/>
        <w:spacing w:line="360" w:lineRule="auto"/>
        <w:rPr>
          <w:rFonts w:asciiTheme="minorEastAsia" w:hAnsiTheme="minorEastAsia" w:cs="Arial"/>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372638">
        <w:rPr>
          <w:rFonts w:asciiTheme="minorEastAsia" w:hAnsiTheme="minorEastAsia" w:cs="Times New Roman" w:hint="eastAsia"/>
          <w:b/>
          <w:sz w:val="24"/>
          <w:szCs w:val="24"/>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（一）选择证券买卖的证券经营机构</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（二）基金投资证券后的清算交收安排</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lastRenderedPageBreak/>
        <w:t>1.清算与交割</w:t>
      </w:r>
    </w:p>
    <w:p w:rsidR="00B333BC" w:rsidRPr="00372638" w:rsidRDefault="00B333BC" w:rsidP="00372638">
      <w:pPr>
        <w:adjustRightInd w:val="0"/>
        <w:snapToGrid w:val="0"/>
        <w:spacing w:line="360" w:lineRule="auto"/>
        <w:ind w:firstLine="480"/>
        <w:rPr>
          <w:rFonts w:asciiTheme="minorEastAsia" w:hAnsiTheme="minorEastAsia" w:cs="Times New Roman"/>
          <w:sz w:val="24"/>
          <w:szCs w:val="24"/>
        </w:rPr>
      </w:pPr>
      <w:r w:rsidRPr="00372638">
        <w:rPr>
          <w:rFonts w:asciiTheme="minorEastAsia" w:hAnsiTheme="minorEastAsia" w:cs="Times New Roman" w:hint="eastAsia"/>
          <w:sz w:val="24"/>
          <w:szCs w:val="24"/>
        </w:rPr>
        <w:t>基金管理人与基金托管人应根据有关法律法规及相关业务规则，签订</w:t>
      </w:r>
      <w:proofErr w:type="gramStart"/>
      <w:r w:rsidRPr="00372638">
        <w:rPr>
          <w:rFonts w:asciiTheme="minorEastAsia" w:hAnsiTheme="minorEastAsia" w:cs="Times New Roman" w:hint="eastAsia"/>
          <w:sz w:val="24"/>
          <w:szCs w:val="24"/>
        </w:rPr>
        <w:t>《</w:t>
      </w:r>
      <w:proofErr w:type="gramEnd"/>
      <w:r w:rsidRPr="00372638">
        <w:rPr>
          <w:rFonts w:asciiTheme="minorEastAsia" w:hAnsiTheme="minorEastAsia" w:cs="Times New Roman" w:hint="eastAsia"/>
          <w:sz w:val="24"/>
          <w:szCs w:val="24"/>
        </w:rPr>
        <w:t>托管</w:t>
      </w:r>
    </w:p>
    <w:p w:rsidR="00B333BC" w:rsidRPr="00372638" w:rsidRDefault="00B333BC" w:rsidP="00372638">
      <w:pPr>
        <w:adjustRightInd w:val="0"/>
        <w:snapToGrid w:val="0"/>
        <w:spacing w:line="360" w:lineRule="auto"/>
        <w:rPr>
          <w:rFonts w:asciiTheme="minorEastAsia" w:hAnsiTheme="minorEastAsia" w:cs="Times New Roman"/>
          <w:sz w:val="24"/>
          <w:szCs w:val="24"/>
        </w:rPr>
      </w:pPr>
      <w:r w:rsidRPr="00372638">
        <w:rPr>
          <w:rFonts w:asciiTheme="minorEastAsia" w:hAnsiTheme="minorEastAsia" w:cs="Times New Roman" w:hint="eastAsia"/>
          <w:sz w:val="24"/>
          <w:szCs w:val="24"/>
        </w:rPr>
        <w:t>银行证券资金结算协议</w:t>
      </w:r>
      <w:proofErr w:type="gramStart"/>
      <w:r w:rsidRPr="00372638">
        <w:rPr>
          <w:rFonts w:asciiTheme="minorEastAsia" w:hAnsiTheme="minorEastAsia" w:cs="Times New Roman" w:hint="eastAsia"/>
          <w:sz w:val="24"/>
          <w:szCs w:val="24"/>
        </w:rPr>
        <w:t>》</w:t>
      </w:r>
      <w:proofErr w:type="gramEnd"/>
      <w:r w:rsidRPr="00372638">
        <w:rPr>
          <w:rFonts w:asciiTheme="minorEastAsia" w:hAnsiTheme="minorEastAsia" w:cs="Times New Roman" w:hint="eastAsia"/>
          <w:sz w:val="24"/>
          <w:szCs w:val="24"/>
        </w:rPr>
        <w:t>，用以具体明确基金管理人与基金托管人在证券交易资金结算业务中的责任。</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372638">
        <w:rPr>
          <w:rFonts w:asciiTheme="minorEastAsia" w:hAnsiTheme="minorEastAsia" w:cs="Arial" w:hint="eastAsia"/>
          <w:sz w:val="24"/>
          <w:szCs w:val="24"/>
        </w:rPr>
        <w:t>券</w:t>
      </w:r>
      <w:proofErr w:type="gramEnd"/>
      <w:r w:rsidRPr="00372638">
        <w:rPr>
          <w:rFonts w:asciiTheme="minorEastAsia" w:hAnsiTheme="minorEastAsia" w:cs="Arial" w:hint="eastAsia"/>
          <w:sz w:val="24"/>
          <w:szCs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B333BC" w:rsidRPr="00372638" w:rsidRDefault="00B333BC" w:rsidP="00372638">
      <w:pPr>
        <w:adjustRightInd w:val="0"/>
        <w:snapToGrid w:val="0"/>
        <w:spacing w:line="360" w:lineRule="auto"/>
        <w:ind w:firstLine="480"/>
        <w:rPr>
          <w:rFonts w:asciiTheme="minorEastAsia" w:hAnsiTheme="minorEastAsia" w:cs="宋体"/>
          <w:color w:val="000000"/>
          <w:kern w:val="0"/>
          <w:sz w:val="24"/>
          <w:szCs w:val="24"/>
        </w:rPr>
      </w:pPr>
      <w:r w:rsidRPr="00372638">
        <w:rPr>
          <w:rFonts w:asciiTheme="minorEastAsia" w:hAnsiTheme="minorEastAsia" w:cs="宋体" w:hint="eastAsia"/>
          <w:color w:val="000000"/>
          <w:kern w:val="0"/>
          <w:sz w:val="24"/>
          <w:szCs w:val="24"/>
        </w:rPr>
        <w:t>基金管理人应采取合理、必要措施，确保T日日终有足够的资金头寸完成 T+1日</w:t>
      </w:r>
      <w:r w:rsidRPr="00372638">
        <w:rPr>
          <w:rFonts w:asciiTheme="minorEastAsia" w:hAnsiTheme="minorEastAsia" w:cs="Times New Roman" w:hint="eastAsia"/>
          <w:sz w:val="24"/>
          <w:szCs w:val="24"/>
        </w:rPr>
        <w:t>中国证券登记结算有限责任公司的资金</w:t>
      </w:r>
      <w:r w:rsidRPr="00372638">
        <w:rPr>
          <w:rFonts w:asciiTheme="minorEastAsia" w:hAnsiTheme="minorEastAsia" w:cs="宋体" w:hint="eastAsia"/>
          <w:color w:val="000000"/>
          <w:kern w:val="0"/>
          <w:sz w:val="24"/>
          <w:szCs w:val="24"/>
        </w:rPr>
        <w:t>交收；如因基金管理</w:t>
      </w:r>
      <w:proofErr w:type="gramStart"/>
      <w:r w:rsidRPr="00372638">
        <w:rPr>
          <w:rFonts w:asciiTheme="minorEastAsia" w:hAnsiTheme="minorEastAsia" w:cs="宋体" w:hint="eastAsia"/>
          <w:color w:val="000000"/>
          <w:kern w:val="0"/>
          <w:sz w:val="24"/>
          <w:szCs w:val="24"/>
        </w:rPr>
        <w:t>人原因</w:t>
      </w:r>
      <w:proofErr w:type="gramEnd"/>
      <w:r w:rsidRPr="00372638">
        <w:rPr>
          <w:rFonts w:asciiTheme="minorEastAsia" w:hAnsiTheme="minorEastAsia" w:cs="宋体" w:hint="eastAsia"/>
          <w:color w:val="000000"/>
          <w:kern w:val="0"/>
          <w:sz w:val="24"/>
          <w:szCs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宋体" w:hint="eastAsia"/>
          <w:color w:val="000000"/>
          <w:kern w:val="0"/>
          <w:sz w:val="24"/>
          <w:szCs w:val="24"/>
        </w:rPr>
        <w:t>根据中国证券登记结算有限责任公司结算规定，基金管理人在进行融资回购业务时，用于融资回购的债券将作为偿还融资回购到期购回款的质押</w:t>
      </w:r>
      <w:proofErr w:type="gramStart"/>
      <w:r w:rsidRPr="00372638">
        <w:rPr>
          <w:rFonts w:asciiTheme="minorEastAsia" w:hAnsiTheme="minorEastAsia" w:cs="宋体" w:hint="eastAsia"/>
          <w:color w:val="000000"/>
          <w:kern w:val="0"/>
          <w:sz w:val="24"/>
          <w:szCs w:val="24"/>
        </w:rPr>
        <w:t>券</w:t>
      </w:r>
      <w:proofErr w:type="gramEnd"/>
      <w:r w:rsidRPr="00372638">
        <w:rPr>
          <w:rFonts w:asciiTheme="minorEastAsia" w:hAnsiTheme="minorEastAsia" w:cs="宋体" w:hint="eastAsia"/>
          <w:color w:val="000000"/>
          <w:kern w:val="0"/>
          <w:sz w:val="24"/>
          <w:szCs w:val="24"/>
        </w:rPr>
        <w:t>。如因基金</w:t>
      </w:r>
      <w:r w:rsidRPr="00372638">
        <w:rPr>
          <w:rFonts w:asciiTheme="minorEastAsia" w:hAnsiTheme="minorEastAsia" w:cs="宋体" w:hint="eastAsia"/>
          <w:color w:val="000000"/>
          <w:kern w:val="0"/>
          <w:sz w:val="24"/>
          <w:szCs w:val="24"/>
        </w:rPr>
        <w:lastRenderedPageBreak/>
        <w:t>管理</w:t>
      </w:r>
      <w:proofErr w:type="gramStart"/>
      <w:r w:rsidRPr="00372638">
        <w:rPr>
          <w:rFonts w:asciiTheme="minorEastAsia" w:hAnsiTheme="minorEastAsia" w:cs="宋体" w:hint="eastAsia"/>
          <w:color w:val="000000"/>
          <w:kern w:val="0"/>
          <w:sz w:val="24"/>
          <w:szCs w:val="24"/>
        </w:rPr>
        <w:t>人原因</w:t>
      </w:r>
      <w:proofErr w:type="gramEnd"/>
      <w:r w:rsidRPr="00372638">
        <w:rPr>
          <w:rFonts w:asciiTheme="minorEastAsia" w:hAnsiTheme="minorEastAsia" w:cs="宋体" w:hint="eastAsia"/>
          <w:color w:val="000000"/>
          <w:kern w:val="0"/>
          <w:sz w:val="24"/>
          <w:szCs w:val="24"/>
        </w:rPr>
        <w:t>造成债券回购交收违约或因折算率变化造成质押欠库，导致中国证券登记结算有限责任公司欠库扣款或对质押</w:t>
      </w:r>
      <w:proofErr w:type="gramStart"/>
      <w:r w:rsidRPr="00372638">
        <w:rPr>
          <w:rFonts w:asciiTheme="minorEastAsia" w:hAnsiTheme="minorEastAsia" w:cs="宋体" w:hint="eastAsia"/>
          <w:color w:val="000000"/>
          <w:kern w:val="0"/>
          <w:sz w:val="24"/>
          <w:szCs w:val="24"/>
        </w:rPr>
        <w:t>券</w:t>
      </w:r>
      <w:proofErr w:type="gramEnd"/>
      <w:r w:rsidRPr="00372638">
        <w:rPr>
          <w:rFonts w:asciiTheme="minorEastAsia" w:hAnsiTheme="minorEastAsia" w:cs="宋体" w:hint="eastAsia"/>
          <w:color w:val="000000"/>
          <w:kern w:val="0"/>
          <w:sz w:val="24"/>
          <w:szCs w:val="24"/>
        </w:rPr>
        <w:t>进行处置造成的投资风险和损失由基金管理人承担。</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实行场内T+0交收的资金清算按照基金托管人的相关规定流程执行。</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2.交易记录、资金和证券账目核对的时间和方式</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（1）交易记录的核对</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（2）资金账目的核对</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资金账目按日核实。</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（3）证券账目的核对</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基金管理人和基金托管人每交易日结束后核对基金交易所场内证券账目，确保双方账目相符。基金管理人和基金托管人每月月</w:t>
      </w:r>
      <w:proofErr w:type="gramStart"/>
      <w:r w:rsidRPr="00372638">
        <w:rPr>
          <w:rFonts w:asciiTheme="minorEastAsia" w:hAnsiTheme="minorEastAsia" w:cs="Arial" w:hint="eastAsia"/>
          <w:sz w:val="24"/>
          <w:szCs w:val="24"/>
        </w:rPr>
        <w:t>末最后</w:t>
      </w:r>
      <w:proofErr w:type="gramEnd"/>
      <w:r w:rsidRPr="00372638">
        <w:rPr>
          <w:rFonts w:asciiTheme="minorEastAsia" w:hAnsiTheme="minorEastAsia" w:cs="Arial" w:hint="eastAsia"/>
          <w:sz w:val="24"/>
          <w:szCs w:val="24"/>
        </w:rPr>
        <w:t>一个交易日</w:t>
      </w:r>
      <w:proofErr w:type="gramStart"/>
      <w:r w:rsidRPr="00372638">
        <w:rPr>
          <w:rFonts w:asciiTheme="minorEastAsia" w:hAnsiTheme="minorEastAsia" w:cs="Arial" w:hint="eastAsia"/>
          <w:sz w:val="24"/>
          <w:szCs w:val="24"/>
        </w:rPr>
        <w:t>核对非</w:t>
      </w:r>
      <w:proofErr w:type="gramEnd"/>
      <w:r w:rsidRPr="00372638">
        <w:rPr>
          <w:rFonts w:asciiTheme="minorEastAsia" w:hAnsiTheme="minorEastAsia" w:cs="Arial" w:hint="eastAsia"/>
          <w:sz w:val="24"/>
          <w:szCs w:val="24"/>
        </w:rPr>
        <w:t>交易所场内的证券账目。</w:t>
      </w:r>
    </w:p>
    <w:p w:rsidR="00B333BC" w:rsidRPr="00372638" w:rsidRDefault="00B333BC" w:rsidP="00372638">
      <w:pPr>
        <w:adjustRightInd w:val="0"/>
        <w:snapToGrid w:val="0"/>
        <w:spacing w:line="360" w:lineRule="auto"/>
        <w:ind w:firstLine="480"/>
        <w:outlineLvl w:val="0"/>
        <w:rPr>
          <w:rFonts w:asciiTheme="minorEastAsia" w:hAnsiTheme="minorEastAsia" w:cs="Arial"/>
          <w:sz w:val="24"/>
          <w:szCs w:val="24"/>
        </w:rPr>
      </w:pPr>
      <w:r w:rsidRPr="00372638">
        <w:rPr>
          <w:rFonts w:asciiTheme="minorEastAsia" w:hAnsiTheme="minorEastAsia" w:cs="Arial" w:hint="eastAsia"/>
          <w:sz w:val="24"/>
          <w:szCs w:val="24"/>
        </w:rPr>
        <w:t>（三）基金申购和赎回业务处理的基本规定</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1.基金份额申购、赎回的确认、清算由基金管理人或其委托的登记机构负责。</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3.基金管理人应保证本基金（或本基金管理人委托）的登记机构每个工作日15:00前向基金托管人发送前一开放</w:t>
      </w:r>
      <w:proofErr w:type="gramStart"/>
      <w:r w:rsidRPr="00372638">
        <w:rPr>
          <w:rFonts w:asciiTheme="minorEastAsia" w:hAnsiTheme="minorEastAsia" w:cs="Arial" w:hint="eastAsia"/>
          <w:sz w:val="24"/>
          <w:szCs w:val="24"/>
        </w:rPr>
        <w:t>日上述</w:t>
      </w:r>
      <w:proofErr w:type="gramEnd"/>
      <w:r w:rsidRPr="00372638">
        <w:rPr>
          <w:rFonts w:asciiTheme="minorEastAsia" w:hAnsiTheme="minorEastAsia" w:cs="Arial" w:hint="eastAsia"/>
          <w:sz w:val="24"/>
          <w:szCs w:val="24"/>
        </w:rPr>
        <w:t>有关数据，并保证相关数据的准确、完整。</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5.如基金管理人委托其他机构办理本基金的登记业务，应保证上述相关事宜</w:t>
      </w:r>
      <w:r w:rsidRPr="00372638">
        <w:rPr>
          <w:rFonts w:asciiTheme="minorEastAsia" w:hAnsiTheme="minorEastAsia" w:cs="Arial" w:hint="eastAsia"/>
          <w:sz w:val="24"/>
          <w:szCs w:val="24"/>
        </w:rPr>
        <w:lastRenderedPageBreak/>
        <w:t>按时进行。否则，由基金管理人承担相应的责任。</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6.关于清算专用账户的设立和管理</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为满足申购、赎回及分红资金汇划的需要，由基金管理人开立资金清算的专用账户，该账户由登记机构管理。</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8.赎回和分红资金划拨规定</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拨付</w:t>
      </w:r>
      <w:proofErr w:type="gramStart"/>
      <w:r w:rsidRPr="00372638">
        <w:rPr>
          <w:rFonts w:asciiTheme="minorEastAsia" w:hAnsiTheme="minorEastAsia" w:cs="Arial" w:hint="eastAsia"/>
          <w:sz w:val="24"/>
          <w:szCs w:val="24"/>
        </w:rPr>
        <w:t>赎回款</w:t>
      </w:r>
      <w:proofErr w:type="gramEnd"/>
      <w:r w:rsidRPr="00372638">
        <w:rPr>
          <w:rFonts w:asciiTheme="minorEastAsia" w:hAnsiTheme="minorEastAsia" w:cs="Arial" w:hint="eastAsia"/>
          <w:sz w:val="24"/>
          <w:szCs w:val="24"/>
        </w:rPr>
        <w:t>或进行基金分红时，如基金资金账户有足够的资金，基金托管人应按时拨付；因基金资金账户没有足够的资金，导致基金托管人不能按时拨付，如</w:t>
      </w:r>
      <w:proofErr w:type="gramStart"/>
      <w:r w:rsidRPr="00372638">
        <w:rPr>
          <w:rFonts w:asciiTheme="minorEastAsia" w:hAnsiTheme="minorEastAsia" w:cs="Arial" w:hint="eastAsia"/>
          <w:sz w:val="24"/>
          <w:szCs w:val="24"/>
        </w:rPr>
        <w:t>系基金</w:t>
      </w:r>
      <w:proofErr w:type="gramEnd"/>
      <w:r w:rsidRPr="00372638">
        <w:rPr>
          <w:rFonts w:asciiTheme="minorEastAsia" w:hAnsiTheme="minorEastAsia" w:cs="Arial" w:hint="eastAsia"/>
          <w:sz w:val="24"/>
          <w:szCs w:val="24"/>
        </w:rPr>
        <w:t>管理人的原因造成，责任由基金管理人承担，基金托管人不承担垫款义务。</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9.资金指令</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除申购款项到达基金资金账户需双方按约定方式对账外，回购到期付款和与投资有关的付款、赎回和分红资金划拨时，基金管理人需向基金托管人下达指令。</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资金指令的格式、内容、发送、接收和确认方式等与投资指令相同。</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（四）</w:t>
      </w:r>
      <w:proofErr w:type="gramStart"/>
      <w:r w:rsidRPr="00372638">
        <w:rPr>
          <w:rFonts w:asciiTheme="minorEastAsia" w:hAnsiTheme="minorEastAsia" w:cs="Arial" w:hint="eastAsia"/>
          <w:sz w:val="24"/>
          <w:szCs w:val="24"/>
        </w:rPr>
        <w:t>申赎净额</w:t>
      </w:r>
      <w:proofErr w:type="gramEnd"/>
      <w:r w:rsidRPr="00372638">
        <w:rPr>
          <w:rFonts w:asciiTheme="minorEastAsia" w:hAnsiTheme="minorEastAsia" w:cs="Arial" w:hint="eastAsia"/>
          <w:sz w:val="24"/>
          <w:szCs w:val="24"/>
        </w:rPr>
        <w:t>结算</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372638">
        <w:rPr>
          <w:rFonts w:asciiTheme="minorEastAsia" w:hAnsiTheme="minorEastAsia" w:cs="Arial" w:hint="eastAsia"/>
          <w:sz w:val="24"/>
          <w:szCs w:val="24"/>
        </w:rPr>
        <w:t>划往基金</w:t>
      </w:r>
      <w:proofErr w:type="gramEnd"/>
      <w:r w:rsidRPr="00372638">
        <w:rPr>
          <w:rFonts w:asciiTheme="minorEastAsia" w:hAnsiTheme="minorEastAsia" w:cs="Arial" w:hint="eastAsia"/>
          <w:sz w:val="24"/>
          <w:szCs w:val="24"/>
        </w:rPr>
        <w:t>清算账户。</w:t>
      </w:r>
    </w:p>
    <w:p w:rsidR="00B333BC" w:rsidRPr="00372638" w:rsidRDefault="00B333BC" w:rsidP="00372638">
      <w:pPr>
        <w:adjustRightInd w:val="0"/>
        <w:snapToGrid w:val="0"/>
        <w:spacing w:line="360" w:lineRule="auto"/>
        <w:ind w:firstLine="480"/>
        <w:outlineLvl w:val="0"/>
        <w:rPr>
          <w:rFonts w:asciiTheme="minorEastAsia" w:hAnsiTheme="minorEastAsia" w:cs="Arial"/>
          <w:sz w:val="24"/>
          <w:szCs w:val="24"/>
        </w:rPr>
      </w:pPr>
      <w:r w:rsidRPr="00372638">
        <w:rPr>
          <w:rFonts w:asciiTheme="minorEastAsia" w:hAnsiTheme="minorEastAsia" w:cs="Arial" w:hint="eastAsia"/>
          <w:sz w:val="24"/>
          <w:szCs w:val="24"/>
        </w:rPr>
        <w:t>（五）基金转换</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1.在本基金与基金管理人管理的其它基金开展转换业务之前，基金管理人应函告基金托管人并就相关事宜进行协商。</w:t>
      </w:r>
    </w:p>
    <w:p w:rsidR="00B333BC" w:rsidRPr="00372638" w:rsidRDefault="00B333BC" w:rsidP="00372638">
      <w:pPr>
        <w:adjustRightInd w:val="0"/>
        <w:snapToGrid w:val="0"/>
        <w:spacing w:line="360" w:lineRule="auto"/>
        <w:ind w:firstLine="480"/>
        <w:outlineLvl w:val="0"/>
        <w:rPr>
          <w:rFonts w:asciiTheme="minorEastAsia" w:hAnsiTheme="minorEastAsia" w:cs="Arial"/>
          <w:sz w:val="24"/>
          <w:szCs w:val="24"/>
        </w:rPr>
      </w:pPr>
      <w:r w:rsidRPr="00372638">
        <w:rPr>
          <w:rFonts w:asciiTheme="minorEastAsia" w:hAnsiTheme="minorEastAsia" w:cs="Arial" w:hint="eastAsia"/>
          <w:sz w:val="24"/>
          <w:szCs w:val="24"/>
        </w:rPr>
        <w:t>2.基金托管人将根据基金管理人传送的基金转换数据进行账务处理，</w:t>
      </w:r>
      <w:proofErr w:type="gramStart"/>
      <w:r w:rsidRPr="00372638">
        <w:rPr>
          <w:rFonts w:asciiTheme="minorEastAsia" w:hAnsiTheme="minorEastAsia" w:cs="Arial" w:hint="eastAsia"/>
          <w:sz w:val="24"/>
          <w:szCs w:val="24"/>
        </w:rPr>
        <w:t>具体资金</w:t>
      </w:r>
      <w:proofErr w:type="gramEnd"/>
      <w:r w:rsidRPr="00372638">
        <w:rPr>
          <w:rFonts w:asciiTheme="minorEastAsia" w:hAnsiTheme="minorEastAsia" w:cs="Arial" w:hint="eastAsia"/>
          <w:sz w:val="24"/>
          <w:szCs w:val="24"/>
        </w:rPr>
        <w:t>清算和数据传递的时间、程序及托管协议当事人承担的权责按基金管理人届时的公告执行。</w:t>
      </w:r>
    </w:p>
    <w:p w:rsidR="00B333BC" w:rsidRPr="00372638" w:rsidRDefault="00B333BC" w:rsidP="00372638">
      <w:pPr>
        <w:adjustRightInd w:val="0"/>
        <w:snapToGrid w:val="0"/>
        <w:spacing w:line="360" w:lineRule="auto"/>
        <w:ind w:firstLine="480"/>
        <w:outlineLvl w:val="0"/>
        <w:rPr>
          <w:rFonts w:asciiTheme="minorEastAsia" w:hAnsiTheme="minorEastAsia" w:cs="Arial"/>
          <w:sz w:val="24"/>
          <w:szCs w:val="24"/>
        </w:rPr>
      </w:pPr>
      <w:r w:rsidRPr="00372638">
        <w:rPr>
          <w:rFonts w:asciiTheme="minorEastAsia" w:hAnsiTheme="minorEastAsia" w:cs="Arial" w:hint="eastAsia"/>
          <w:sz w:val="24"/>
          <w:szCs w:val="24"/>
        </w:rPr>
        <w:t>3.本基金开展基金转换业务应按相关法律法规规定及《基金合同》的约定进行</w:t>
      </w:r>
      <w:r w:rsidRPr="00372638">
        <w:rPr>
          <w:rFonts w:asciiTheme="minorEastAsia" w:hAnsiTheme="minorEastAsia" w:cs="Arial" w:hint="eastAsia"/>
          <w:sz w:val="24"/>
          <w:szCs w:val="24"/>
        </w:rPr>
        <w:lastRenderedPageBreak/>
        <w:t>公告。</w:t>
      </w:r>
    </w:p>
    <w:p w:rsidR="00B333BC" w:rsidRPr="00372638" w:rsidRDefault="00B333BC" w:rsidP="00372638">
      <w:pPr>
        <w:adjustRightInd w:val="0"/>
        <w:snapToGrid w:val="0"/>
        <w:spacing w:line="360" w:lineRule="auto"/>
        <w:ind w:firstLine="480"/>
        <w:outlineLvl w:val="0"/>
        <w:rPr>
          <w:rFonts w:asciiTheme="minorEastAsia" w:hAnsiTheme="minorEastAsia" w:cs="Arial"/>
          <w:sz w:val="24"/>
          <w:szCs w:val="24"/>
        </w:rPr>
      </w:pPr>
      <w:r w:rsidRPr="00372638">
        <w:rPr>
          <w:rFonts w:asciiTheme="minorEastAsia" w:hAnsiTheme="minorEastAsia" w:cs="Arial" w:hint="eastAsia"/>
          <w:sz w:val="24"/>
          <w:szCs w:val="24"/>
        </w:rPr>
        <w:t>（六）基金现金分红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1.基金管理人确定分红方案通知基金托管人，双方核定后</w:t>
      </w:r>
      <w:r w:rsidRPr="00372638">
        <w:rPr>
          <w:rFonts w:asciiTheme="minorEastAsia" w:hAnsiTheme="minorEastAsia" w:cs="Times New Roman" w:hint="eastAsia"/>
          <w:sz w:val="24"/>
          <w:szCs w:val="24"/>
        </w:rPr>
        <w:t>依照《信息披露办法》的有关规定在中国证监会指定媒体上公告并报中国证监会备案</w:t>
      </w:r>
      <w:r w:rsidRPr="00372638">
        <w:rPr>
          <w:rFonts w:asciiTheme="minorEastAsia" w:hAnsiTheme="minorEastAsia" w:cs="Arial" w:hint="eastAsia"/>
          <w:sz w:val="24"/>
          <w:szCs w:val="24"/>
        </w:rPr>
        <w:t>。</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2.基金托管人和基金管理人对基金分红进行账务处理并核对后，基金管理人向基金托管人发送现金红利的划款指令，基金托管人应及时将资金划入专用账户。</w:t>
      </w:r>
    </w:p>
    <w:p w:rsidR="00B333BC" w:rsidRPr="00372638" w:rsidRDefault="00B333BC" w:rsidP="00372638">
      <w:pPr>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3.基金管理人在下达指令时，应给基金托管人留出必需的划款时间。</w:t>
      </w:r>
    </w:p>
    <w:p w:rsidR="00B333BC" w:rsidRPr="00372638" w:rsidRDefault="00B333BC" w:rsidP="00372638">
      <w:pPr>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（七）投资银行存款的特别约定</w:t>
      </w:r>
    </w:p>
    <w:p w:rsidR="00B333BC" w:rsidRPr="00372638" w:rsidRDefault="00B333BC" w:rsidP="00372638">
      <w:pPr>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1.本基金投资银行存款前，基金管理人应与存款银行签订具体存款协议，包括但不限于以下内容：</w:t>
      </w:r>
    </w:p>
    <w:p w:rsidR="00B333BC" w:rsidRPr="00372638" w:rsidRDefault="00B333BC" w:rsidP="00372638">
      <w:pPr>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（1）存款账户必须以本基金名义开立,并将基金托管人为本基金开立的基金银行账户指定为唯一回款账户，任何情况下，存款银行都不得将存款投资</w:t>
      </w:r>
      <w:proofErr w:type="gramStart"/>
      <w:r w:rsidRPr="00372638">
        <w:rPr>
          <w:rFonts w:asciiTheme="minorEastAsia" w:hAnsiTheme="minorEastAsia" w:cs="Arial" w:hint="eastAsia"/>
          <w:sz w:val="24"/>
          <w:szCs w:val="24"/>
        </w:rPr>
        <w:t>本息划往任何</w:t>
      </w:r>
      <w:proofErr w:type="gramEnd"/>
      <w:r w:rsidRPr="00372638">
        <w:rPr>
          <w:rFonts w:asciiTheme="minorEastAsia" w:hAnsiTheme="minorEastAsia" w:cs="Arial" w:hint="eastAsia"/>
          <w:sz w:val="24"/>
          <w:szCs w:val="24"/>
        </w:rPr>
        <w:t>其他账户。</w:t>
      </w:r>
    </w:p>
    <w:p w:rsidR="00B333BC" w:rsidRPr="00372638" w:rsidRDefault="00B333BC" w:rsidP="00372638">
      <w:pPr>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rsidR="00B333BC" w:rsidRPr="00372638" w:rsidRDefault="00B333BC" w:rsidP="00372638">
      <w:pPr>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（3）约定存款证实书的具体传递交接方式及交接期限。</w:t>
      </w:r>
    </w:p>
    <w:p w:rsidR="00B333BC" w:rsidRPr="00372638" w:rsidRDefault="00B333BC" w:rsidP="00372638">
      <w:pPr>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（4）资金划转过程中需要使用存款银行过渡账户的，存款银行须保证资金在过渡账户中不出现滞留，不被挪用。</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86" w:name="_Toc124325892"/>
      <w:r w:rsidRPr="00372638">
        <w:rPr>
          <w:rFonts w:asciiTheme="minorEastAsia" w:hAnsiTheme="minorEastAsia" w:cs="Times New Roman" w:hint="eastAsia"/>
          <w:b/>
          <w:sz w:val="24"/>
          <w:szCs w:val="24"/>
        </w:rPr>
        <w:t xml:space="preserve"> 八、基金资产净值计算和会计核算</w:t>
      </w:r>
      <w:bookmarkEnd w:id="86"/>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（一）基金资产净值的计算、复核与完成的时间及程序</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lastRenderedPageBreak/>
        <w:t>1.基金资产净值是指基金资产总值减去负债后的金额。基金份额净值是估值日基金资产净值除以当日基金份额的余额数量计算，精确到0.0001元，小数点后第五位四舍五入。国家另有规定的，从其规定。</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每个估值日计算基金资产净值及基金份额净值，并按规定公告。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基金管理人应于每个开放日的次二个工作日内对基金资产估值。但基金管理人根据法律法规或《基金合同》的规定暂停估值时除外。基金管理人于每个开放日的次二个工作日内对基金资产估值后，将基金份额净值结果发送基金托管人，经基金托管人复核无误后，由基金管理人于T+3日内对外公布。</w:t>
      </w:r>
    </w:p>
    <w:p w:rsidR="00B333BC" w:rsidRPr="00372638" w:rsidRDefault="00B333BC" w:rsidP="00372638">
      <w:pPr>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（二）基金资产估值方法和特殊情形的处理</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1.估值对象</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基金所拥有的证券投资基金、股票、权证、债券和银行存款本息、应收款项、其它投资等资产及负债。</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2.估值方法</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本基金所持有的投资品种，按如下原则进行估值 ：</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1、证券投资基金的估值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（1）上市证券投资基金的估值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1）ETF基金、境内上市定期开放式基金、封闭式基金，以其估值日收盘价估值；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 xml:space="preserve">2）境内上市开放式基金（LOF），以其估值日基金份额净值估值； </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境内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估值日基金收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（2）非上市证券投资基金的估值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 xml:space="preserve">1）境内非货币市场基金，以其估值日基金份额净值估值； </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2）境内货币市场基金，按所投资基金前一估值日后至估值日期间（含节假日）的万份收益计提估值日基金收益。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w:t>
      </w:r>
      <w:proofErr w:type="gramStart"/>
      <w:r w:rsidRPr="00372638">
        <w:rPr>
          <w:rFonts w:asciiTheme="minorEastAsia" w:hAnsiTheme="minorEastAsia" w:cs="Arial" w:hint="eastAsia"/>
          <w:sz w:val="24"/>
          <w:szCs w:val="24"/>
        </w:rPr>
        <w:t>如遇所投资</w:t>
      </w:r>
      <w:proofErr w:type="gramEnd"/>
      <w:r w:rsidRPr="00372638">
        <w:rPr>
          <w:rFonts w:asciiTheme="minorEastAsia" w:hAnsiTheme="minorEastAsia" w:cs="Arial" w:hint="eastAsia"/>
          <w:sz w:val="24"/>
          <w:szCs w:val="24"/>
        </w:rPr>
        <w:t>基金不公布基金份额净值、进行折算或拆分、估值日无交易等特殊情况，本基金根据以下原则进行估值：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1）以所投资基金的基金份额净值估值的，若所投资基金与本基金估值频率一</w:t>
      </w:r>
      <w:r w:rsidRPr="00372638">
        <w:rPr>
          <w:rFonts w:asciiTheme="minorEastAsia" w:hAnsiTheme="minorEastAsia" w:cs="Arial" w:hint="eastAsia"/>
          <w:sz w:val="24"/>
          <w:szCs w:val="24"/>
        </w:rPr>
        <w:lastRenderedPageBreak/>
        <w:t>致但未公布估值日基金份额净值，按其最新公布的基金份额净值为基础估值；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3）所投资基金前一估值日至估值日期间发生分红除权、折算或拆分，本基金根据基金份额净值或收盘价、单位基金份额分红金额、折算拆分比例、持仓份额等因素合理确定公允价值。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（4）当本基金管理人认为所投资基金按前述（1）-（3）项进行估值存在</w:t>
      </w:r>
      <w:proofErr w:type="gramStart"/>
      <w:r w:rsidRPr="00372638">
        <w:rPr>
          <w:rFonts w:asciiTheme="minorEastAsia" w:hAnsiTheme="minorEastAsia" w:cs="Arial" w:hint="eastAsia"/>
          <w:sz w:val="24"/>
          <w:szCs w:val="24"/>
        </w:rPr>
        <w:t>不</w:t>
      </w:r>
      <w:proofErr w:type="gramEnd"/>
      <w:r w:rsidRPr="00372638">
        <w:rPr>
          <w:rFonts w:asciiTheme="minorEastAsia" w:hAnsiTheme="minorEastAsia" w:cs="Arial" w:hint="eastAsia"/>
          <w:sz w:val="24"/>
          <w:szCs w:val="24"/>
        </w:rPr>
        <w:t>公允时，应与基金托管人协商一致采用合理的估值技术或估值标准确定其公允价值。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2、证券交易所上市的有价证券的估值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（2）交易所上市交易或挂牌转让的固定收益品种（基金合同另有规定的除外），选取估值日第三方估值机构提供的相应品种对应的估值净价估值。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（3）对在交易所上市交易的可转换债券，选取每日收盘价作为估值全价。</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（4）交易所上市不存在活跃市场的有价证券，采用估值技术确定公允价值。交易所上市的资产支持证券，采用估值技术确定公允价值，在估值技术难以可靠计量公允价值的情况下，按成本估值。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3、处于未上市期间的有价证券应区分如下情况处理：</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（1）送股、转增股、配股和公开增发的新股，按估值日在证券交易所挂牌的同一股票的估值方法估值；该日无交易的，以最近一日的市价（收盘价）估值；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（2）首次公开发行未上市的股票、债券和权证，采用估值技术确定公允价值，在估值技术难以可靠计量公允价值的情况下，按成本估值。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（3）对在交易所市场发行未上市或未挂牌转让的债券，对存在活跃市场的情况下，应以活跃市场上未经调整的报价作为计量日的公允价值进行估值；对于活跃</w:t>
      </w:r>
      <w:r w:rsidRPr="00372638">
        <w:rPr>
          <w:rFonts w:asciiTheme="minorEastAsia" w:hAnsiTheme="minorEastAsia" w:cs="Arial" w:hint="eastAsia"/>
          <w:sz w:val="24"/>
          <w:szCs w:val="24"/>
        </w:rPr>
        <w:lastRenderedPageBreak/>
        <w:t>市场报价未能代表计量日公允价值的情况下，按成本应对市场报价进行调整，确认计量日的公允价值；对于不存在市场活动或市场活动很少的情况下，则采用估值技术确定公允价值。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（4）流通受限的股票，包括非公开发行股票、首次公开发行股票时公司股东公开发售股份、通过大宗交易取得的带限售期的股票等（不包括停牌、新发行未上市、回购交易中的质押</w:t>
      </w:r>
      <w:proofErr w:type="gramStart"/>
      <w:r w:rsidRPr="00372638">
        <w:rPr>
          <w:rFonts w:asciiTheme="minorEastAsia" w:hAnsiTheme="minorEastAsia" w:cs="Arial" w:hint="eastAsia"/>
          <w:sz w:val="24"/>
          <w:szCs w:val="24"/>
        </w:rPr>
        <w:t>券</w:t>
      </w:r>
      <w:proofErr w:type="gramEnd"/>
      <w:r w:rsidRPr="00372638">
        <w:rPr>
          <w:rFonts w:asciiTheme="minorEastAsia" w:hAnsiTheme="minorEastAsia" w:cs="Arial" w:hint="eastAsia"/>
          <w:sz w:val="24"/>
          <w:szCs w:val="24"/>
        </w:rPr>
        <w:t>等流通受限股票），按监管机构或行业协会有关规定确定公允价值。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5、同一债券同时在两个或两个以上市场交易的，按债券所处的市场分别估值。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6、同业存单按估值日第三方估值机构提供的估值净价估值；选定的第三方估值机构未提供估值价格的，按成本估值。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7、当本基金发生大额申购或赎回情形时，基金管理人可以采用摆动定价机制，以确保基金估值的公平性。</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8、如有确凿证据表明按上述方法进行估值不能客观反映其公允价值的，基金管理人可根据具体情况与基金托管人商定后，按最能反映公允价值的价格估值。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9、相关法律法规以及监管部门有强制规定的，从其规定。如有新增事项，按国家最新规定估值。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上述估值方法中的固定收益品种是指在银行间债券市场、上海证券交易所、深圳证券交易所及中国证监会认可的其他交易场所上市交易或挂牌转让的国债、中央银行债、政策性银行债、短期融资</w:t>
      </w:r>
      <w:proofErr w:type="gramStart"/>
      <w:r w:rsidRPr="00372638">
        <w:rPr>
          <w:rFonts w:asciiTheme="minorEastAsia" w:hAnsiTheme="minorEastAsia" w:cs="Arial" w:hint="eastAsia"/>
          <w:sz w:val="24"/>
          <w:szCs w:val="24"/>
        </w:rPr>
        <w:t>券</w:t>
      </w:r>
      <w:proofErr w:type="gramEnd"/>
      <w:r w:rsidRPr="00372638">
        <w:rPr>
          <w:rFonts w:asciiTheme="minorEastAsia" w:hAnsiTheme="minorEastAsia" w:cs="Arial" w:hint="eastAsia"/>
          <w:sz w:val="24"/>
          <w:szCs w:val="24"/>
        </w:rPr>
        <w:t>、中期票据、企业债、公司债、商业银行金融债、可转换债券、中小企业私募债、证券公司短期债、资产支持证券、同业存单等债券品种。</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如基金管理人或基金托管人发现基金估值违反基金合同订明的估值方法、程序及相关法律法规的规定或者未能充分维护基金份额持有人利益时，应立即通知</w:t>
      </w:r>
      <w:r w:rsidRPr="00372638">
        <w:rPr>
          <w:rFonts w:asciiTheme="minorEastAsia" w:hAnsiTheme="minorEastAsia" w:cs="Arial" w:hint="eastAsia"/>
          <w:sz w:val="24"/>
          <w:szCs w:val="24"/>
        </w:rPr>
        <w:lastRenderedPageBreak/>
        <w:t>对方，共同查明原因，双方协商解决。</w:t>
      </w:r>
    </w:p>
    <w:p w:rsidR="00B333BC" w:rsidRPr="00372638" w:rsidRDefault="00B333BC" w:rsidP="00372638">
      <w:pPr>
        <w:adjustRightInd w:val="0"/>
        <w:snapToGrid w:val="0"/>
        <w:spacing w:line="360" w:lineRule="auto"/>
        <w:ind w:firstLine="480"/>
        <w:rPr>
          <w:rFonts w:asciiTheme="minorEastAsia" w:hAnsiTheme="minorEastAsia" w:cs="Times New Roman"/>
          <w:sz w:val="24"/>
          <w:szCs w:val="24"/>
        </w:rPr>
      </w:pPr>
      <w:r w:rsidRPr="00372638">
        <w:rPr>
          <w:rFonts w:asciiTheme="minorEastAsia" w:hAnsiTheme="minorEastAsia" w:cs="Times New Roman"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B333BC" w:rsidRPr="00372638" w:rsidRDefault="00B333BC" w:rsidP="00372638">
      <w:pPr>
        <w:adjustRightInd w:val="0"/>
        <w:snapToGrid w:val="0"/>
        <w:spacing w:line="360" w:lineRule="auto"/>
        <w:ind w:firstLine="480"/>
        <w:rPr>
          <w:rFonts w:asciiTheme="minorEastAsia" w:hAnsiTheme="minorEastAsia" w:cs="Arial"/>
          <w:sz w:val="24"/>
          <w:szCs w:val="24"/>
        </w:rPr>
      </w:pPr>
      <w:r w:rsidRPr="00372638">
        <w:rPr>
          <w:rFonts w:asciiTheme="minorEastAsia" w:hAnsiTheme="minorEastAsia" w:cs="Arial" w:hint="eastAsia"/>
          <w:sz w:val="24"/>
          <w:szCs w:val="24"/>
        </w:rPr>
        <w:t>3.特殊情形的处理</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基金管理人、基金托管人按估值方法的第8项进行估值时，所造成的误差不作为基金资产估值错误</w:t>
      </w:r>
      <w:r w:rsidRPr="00372638">
        <w:rPr>
          <w:rFonts w:asciiTheme="minorEastAsia" w:hAnsiTheme="minorEastAsia" w:cs="Times New Roman" w:hint="eastAsia"/>
          <w:sz w:val="24"/>
          <w:szCs w:val="24"/>
        </w:rPr>
        <w:t>处理。</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（三）基金份额净值错误的处理方式</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372638">
        <w:rPr>
          <w:rFonts w:asciiTheme="minorEastAsia" w:hAnsiTheme="minorEastAsia" w:cs="Arial" w:hint="eastAsia"/>
          <w:sz w:val="24"/>
          <w:szCs w:val="24"/>
        </w:rPr>
        <w:t>；错误偏差达到基金份额净值的</w:t>
      </w:r>
      <w:r w:rsidRPr="00372638">
        <w:rPr>
          <w:rFonts w:asciiTheme="minorEastAsia" w:hAnsiTheme="minorEastAsia" w:cs="Times New Roman" w:hint="eastAsia"/>
          <w:sz w:val="24"/>
          <w:szCs w:val="24"/>
        </w:rPr>
        <w:t>0.5%时，基金管理人应当公告；当发生净值计算错误时，由基金管理人负责处理，由此给基金份额持有人和基金造成损失的，应由基金管理人先行赔付，基金管理人按差错情形，有权向其他当事人追偿。</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372638">
        <w:rPr>
          <w:rFonts w:asciiTheme="minorEastAsia" w:hAnsiTheme="minorEastAsia" w:cs="Arial" w:hint="eastAsia"/>
          <w:sz w:val="24"/>
          <w:szCs w:val="24"/>
        </w:rPr>
        <w:t>损失，由基金管理人负责赔付。</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w:t>
      </w:r>
      <w:proofErr w:type="gramStart"/>
      <w:r w:rsidRPr="00372638">
        <w:rPr>
          <w:rFonts w:asciiTheme="minorEastAsia" w:hAnsiTheme="minorEastAsia" w:cs="Times New Roman" w:hint="eastAsia"/>
          <w:kern w:val="0"/>
          <w:sz w:val="24"/>
          <w:szCs w:val="24"/>
        </w:rPr>
        <w:t>若基金</w:t>
      </w:r>
      <w:proofErr w:type="gramEnd"/>
      <w:r w:rsidRPr="00372638">
        <w:rPr>
          <w:rFonts w:asciiTheme="minorEastAsia" w:hAnsiTheme="minorEastAsia" w:cs="Times New Roman" w:hint="eastAsia"/>
          <w:kern w:val="0"/>
          <w:sz w:val="24"/>
          <w:szCs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(3)如基金管理人和基金托管人对基金份额净值的计算结果，虽然多次重新计算和核对，尚不能达成一致时，为避免不能按时公布基金份额净值的情形，以基金</w:t>
      </w:r>
      <w:r w:rsidRPr="00372638">
        <w:rPr>
          <w:rFonts w:asciiTheme="minorEastAsia" w:hAnsiTheme="minorEastAsia" w:cs="Arial" w:hint="eastAsia"/>
          <w:sz w:val="24"/>
          <w:szCs w:val="24"/>
        </w:rPr>
        <w:lastRenderedPageBreak/>
        <w:t>管理人的计算结果对外公布，由此给基金份额持有人和基金造成的损失，由基金管理人负责赔付。</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w:t>
      </w:r>
      <w:r w:rsidRPr="00372638">
        <w:rPr>
          <w:rFonts w:asciiTheme="minorEastAsia" w:hAnsiTheme="minorEastAsia"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由于证券交易所及登记结算公司发送的数据错误，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4.基金管理人和基金托管人由于各自技术系统设置而产生的净值计算尾差，以基金管理人计算结果为准。</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5.前述内容如法律法规或者监管部门另有规定的，从其规定。如果行业另有通行做法，双方当事人应本着平等和保护基金份额持有人利益的原则进行协商。</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（四）暂停估值与公告基金份额净值的情形</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1.基金投资所涉及的证券交易市场遇法定节假日或因其他原因暂停营业时；</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2.因不可抗力致使基金管理人、基金托管人无法准确评估基金资产价值时；</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3、占本基金相当比例的被投资基金发生暂停估值；</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4、当前一估值日基金资产净值50%以上的资产出现无可参考的活跃市场价格且采用估值技术</w:t>
      </w:r>
      <w:proofErr w:type="gramStart"/>
      <w:r w:rsidRPr="00372638">
        <w:rPr>
          <w:rFonts w:asciiTheme="minorEastAsia" w:hAnsiTheme="minorEastAsia" w:cs="Arial" w:hint="eastAsia"/>
          <w:sz w:val="24"/>
          <w:szCs w:val="24"/>
        </w:rPr>
        <w:t>仍导致</w:t>
      </w:r>
      <w:proofErr w:type="gramEnd"/>
      <w:r w:rsidRPr="00372638">
        <w:rPr>
          <w:rFonts w:asciiTheme="minorEastAsia" w:hAnsiTheme="minorEastAsia" w:cs="Arial" w:hint="eastAsia"/>
          <w:sz w:val="24"/>
          <w:szCs w:val="24"/>
        </w:rPr>
        <w:t>公允价值存在重大不确定性，并经与基金托管人协商确认后，基金管理人应当暂停估值时；</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5.</w:t>
      </w:r>
      <w:r w:rsidRPr="00372638">
        <w:rPr>
          <w:rFonts w:asciiTheme="minorEastAsia" w:hAnsiTheme="minorEastAsia" w:cs="Times New Roman" w:hint="eastAsia"/>
          <w:sz w:val="24"/>
          <w:szCs w:val="24"/>
        </w:rPr>
        <w:t xml:space="preserve"> </w:t>
      </w:r>
      <w:r w:rsidRPr="00372638">
        <w:rPr>
          <w:rFonts w:asciiTheme="minorEastAsia" w:hAnsiTheme="minorEastAsia" w:cs="Arial" w:hint="eastAsia"/>
          <w:sz w:val="24"/>
          <w:szCs w:val="24"/>
        </w:rPr>
        <w:t>法律法规规定、中国证监会和《基金合同》认定的其他情形。</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（五）基金会计制度</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按国家有关部门规定的会计制度执行。</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（六）基金账册的建立</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基金管理人进行基金会计核算并编制基金财务会计报告。基金管理人独立地设置、记录和保管本基金的全套账册。</w:t>
      </w:r>
      <w:proofErr w:type="gramStart"/>
      <w:r w:rsidRPr="00372638">
        <w:rPr>
          <w:rFonts w:asciiTheme="minorEastAsia" w:hAnsiTheme="minorEastAsia" w:cs="Arial" w:hint="eastAsia"/>
          <w:sz w:val="24"/>
          <w:szCs w:val="24"/>
        </w:rPr>
        <w:t>若基金</w:t>
      </w:r>
      <w:proofErr w:type="gramEnd"/>
      <w:r w:rsidRPr="00372638">
        <w:rPr>
          <w:rFonts w:asciiTheme="minorEastAsia" w:hAnsiTheme="minorEastAsia"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（七）基金财务报表与报告的编制和复核</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lastRenderedPageBreak/>
        <w:t>1.财务报表的编制</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基金财务报表由基金管理人编制，基金托管人复核。</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2.报表复核</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基金托管人在收到基金管理人编制的基金财务报表后，进行独立的复核。核对不符时，应及时通知基金管理人共同查出原因，进行调整，直至双方数据完全一致。</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3.财务报表的编制与复核时间安排</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(1)报表的编制</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(2)报表的复核</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基金管理人应留足充分的时间，便于基金托管人复核相关报表及报告。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（八）基金管理人应在编制季度报告、半年度报告或者年度报告之前及时向基金托管人提供基金业绩比较基准的基础数据和编制结果。</w:t>
      </w:r>
    </w:p>
    <w:p w:rsidR="00B333BC" w:rsidRPr="00372638" w:rsidRDefault="00B333BC" w:rsidP="00372638">
      <w:pPr>
        <w:adjustRightInd w:val="0"/>
        <w:snapToGrid w:val="0"/>
        <w:spacing w:line="360" w:lineRule="auto"/>
        <w:rPr>
          <w:rFonts w:asciiTheme="minorEastAsia" w:hAnsiTheme="minorEastAsia" w:cs="Arial"/>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87" w:name="_Toc124325893"/>
      <w:r w:rsidRPr="00372638">
        <w:rPr>
          <w:rFonts w:asciiTheme="minorEastAsia" w:hAnsiTheme="minorEastAsia" w:cs="Times New Roman" w:hint="eastAsia"/>
          <w:b/>
          <w:sz w:val="24"/>
          <w:szCs w:val="24"/>
        </w:rPr>
        <w:t>九、基金收益分配</w:t>
      </w:r>
      <w:bookmarkEnd w:id="87"/>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基金收益分配是指按规定将基金的可分配收益按基金份额进行比例分配。</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（一）基金收益分配的原则</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基金收益分配应遵循下列原则：</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1.每一基金份额享有同等分配权；</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2.本基金收益分配方式分为两种：现金分红与红利再投资；投资者可选择现金红利或将现金红利自动转为基金份额进行再投资；若投资者不选择，本基金默认的收益分配方式是现金分红；</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3.基金收益分配后基金份额净值不能低于面值；即基金收益分配基准日的基</w:t>
      </w:r>
      <w:r w:rsidRPr="00372638">
        <w:rPr>
          <w:rFonts w:asciiTheme="minorEastAsia" w:hAnsiTheme="minorEastAsia" w:cs="Arial" w:hint="eastAsia"/>
          <w:sz w:val="24"/>
          <w:szCs w:val="24"/>
        </w:rPr>
        <w:lastRenderedPageBreak/>
        <w:t>金份额净值减去每单位基金份额收益分配金额后不能低于面值；</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4.法律法规或监管机构另有规定的，从其规定。</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在不违反法律法规且对基金份额持有人利益无实质性不利影响的前提下，基金管理人</w:t>
      </w:r>
      <w:r w:rsidRPr="00372638">
        <w:rPr>
          <w:rFonts w:asciiTheme="minorEastAsia" w:hAnsiTheme="minorEastAsia" w:cs="Arial" w:hint="eastAsia"/>
          <w:bCs/>
          <w:sz w:val="24"/>
          <w:szCs w:val="24"/>
        </w:rPr>
        <w:t>经与基金托管人协商一致并按照监管部门要求履行适当程序后</w:t>
      </w:r>
      <w:r w:rsidRPr="00372638">
        <w:rPr>
          <w:rFonts w:asciiTheme="minorEastAsia" w:hAnsiTheme="minorEastAsia" w:cs="Arial" w:hint="eastAsia"/>
          <w:sz w:val="24"/>
          <w:szCs w:val="24"/>
        </w:rPr>
        <w:t>可对基金收益分配原则进行调整，无需召开基金份额持有人大会，但应于变更实施日前在指定媒介公告。</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（二）基金收益分配的时间和程序</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本基金收益分配方案由基金管理人拟订，并由基金托管人复核，在2日内在指定媒介公告并报中国证监会备案。</w:t>
      </w:r>
      <w:r w:rsidRPr="00372638">
        <w:rPr>
          <w:rFonts w:asciiTheme="minorEastAsia" w:hAnsiTheme="minorEastAsia" w:cs="Times New Roman" w:hint="eastAsia"/>
          <w:sz w:val="24"/>
          <w:szCs w:val="24"/>
        </w:rPr>
        <w:t>基金红利发放</w:t>
      </w:r>
      <w:proofErr w:type="gramStart"/>
      <w:r w:rsidRPr="00372638">
        <w:rPr>
          <w:rFonts w:asciiTheme="minorEastAsia" w:hAnsiTheme="minorEastAsia" w:cs="Times New Roman" w:hint="eastAsia"/>
          <w:sz w:val="24"/>
          <w:szCs w:val="24"/>
        </w:rPr>
        <w:t>日距离</w:t>
      </w:r>
      <w:proofErr w:type="gramEnd"/>
      <w:r w:rsidRPr="00372638">
        <w:rPr>
          <w:rFonts w:asciiTheme="minorEastAsia" w:hAnsiTheme="minorEastAsia" w:cs="Times New Roman" w:hint="eastAsia"/>
          <w:sz w:val="24"/>
          <w:szCs w:val="24"/>
        </w:rPr>
        <w:t>收益分配基准日（即可供分配利润计算截止日）的时间不得超过15个工作日。</w:t>
      </w:r>
      <w:r w:rsidRPr="00372638">
        <w:rPr>
          <w:rFonts w:asciiTheme="minorEastAsia" w:hAnsiTheme="minorEastAsia"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B333BC" w:rsidRPr="00372638" w:rsidRDefault="00B333BC" w:rsidP="00372638">
      <w:pPr>
        <w:adjustRightInd w:val="0"/>
        <w:snapToGrid w:val="0"/>
        <w:spacing w:line="360" w:lineRule="auto"/>
        <w:rPr>
          <w:rFonts w:asciiTheme="minorEastAsia" w:hAnsiTheme="minorEastAsia" w:cs="Arial"/>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88" w:name="_Toc124325894"/>
      <w:r w:rsidRPr="00372638">
        <w:rPr>
          <w:rFonts w:asciiTheme="minorEastAsia" w:hAnsiTheme="minorEastAsia" w:cs="Times New Roman" w:hint="eastAsia"/>
          <w:b/>
          <w:sz w:val="24"/>
          <w:szCs w:val="24"/>
        </w:rPr>
        <w:t>十、基金信息披露</w:t>
      </w:r>
      <w:bookmarkEnd w:id="88"/>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（一）保密义务</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1.非因基金管理人和基金托管人的原因导致保密信息被披露、泄露或公开；</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2.基金管理人和基金托管人为遵守和服从法院判决或裁定、仲裁裁决或中国证监会等监管机构的命令、决定所做出的信息披露或公开。</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（二）信息披露的内容</w:t>
      </w:r>
    </w:p>
    <w:p w:rsidR="00B333BC" w:rsidRPr="00372638" w:rsidRDefault="00B333BC" w:rsidP="00372638">
      <w:pPr>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基金的信息披露内容主要包括基金招募说明书、《基金合同》、托管协议、基金</w:t>
      </w:r>
      <w:r w:rsidRPr="00372638">
        <w:rPr>
          <w:rFonts w:asciiTheme="minorEastAsia" w:hAnsiTheme="minorEastAsia" w:cs="Arial" w:hint="eastAsia"/>
          <w:sz w:val="24"/>
          <w:szCs w:val="24"/>
        </w:rPr>
        <w:lastRenderedPageBreak/>
        <w:t>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（三）基金托管人和基金管理人在信息披露中的职责和信息披露程序</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1.职责</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对于不需要基金托管人复核的信息，基金管理人在公告前应告知基金托管人。</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基金管理人和基金托管人应积极配合、互相监督，保证其履行按照法定方式和限时披露的义务。</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当出现下述情况时，基金管理人和基金托管人可暂停或延迟披露基金相关信息：</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(1)基金投资所涉及的证券交易市场遇法定节假日或因其他原因暂停营业时；</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w:t>
      </w:r>
      <w:r w:rsidRPr="00372638">
        <w:rPr>
          <w:rFonts w:asciiTheme="minorEastAsia" w:hAnsiTheme="minorEastAsia" w:cs="Times New Roman" w:hint="eastAsia"/>
          <w:sz w:val="24"/>
          <w:szCs w:val="24"/>
        </w:rPr>
        <w:t xml:space="preserve"> </w:t>
      </w:r>
      <w:r w:rsidRPr="00372638">
        <w:rPr>
          <w:rFonts w:asciiTheme="minorEastAsia" w:hAnsiTheme="minorEastAsia" w:cs="Arial" w:hint="eastAsia"/>
          <w:sz w:val="24"/>
          <w:szCs w:val="24"/>
        </w:rPr>
        <w:t>因不可抗力致使基金管理人、基金托管人无法准确评估基金资产价值时；</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w:t>
      </w:r>
      <w:r w:rsidRPr="00372638">
        <w:rPr>
          <w:rFonts w:asciiTheme="minorEastAsia" w:hAnsiTheme="minorEastAsia" w:cs="Times New Roman" w:hint="eastAsia"/>
          <w:sz w:val="24"/>
          <w:szCs w:val="24"/>
        </w:rPr>
        <w:t xml:space="preserve"> </w:t>
      </w:r>
      <w:r w:rsidRPr="00372638">
        <w:rPr>
          <w:rFonts w:asciiTheme="minorEastAsia" w:hAnsiTheme="minorEastAsia" w:cs="Arial" w:hint="eastAsia"/>
          <w:sz w:val="24"/>
          <w:szCs w:val="24"/>
        </w:rPr>
        <w:t>占本基金相当比例的被投资基金发生暂停估值、暂停公告基金份额净值的情形；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w:t>
      </w:r>
      <w:r w:rsidRPr="00372638">
        <w:rPr>
          <w:rFonts w:asciiTheme="minorEastAsia" w:hAnsiTheme="minorEastAsia" w:cs="Times New Roman" w:hint="eastAsia"/>
          <w:sz w:val="24"/>
          <w:szCs w:val="24"/>
        </w:rPr>
        <w:t xml:space="preserve"> </w:t>
      </w:r>
      <w:r w:rsidRPr="00372638">
        <w:rPr>
          <w:rFonts w:asciiTheme="minorEastAsia" w:hAnsiTheme="minorEastAsia" w:cs="Arial" w:hint="eastAsia"/>
          <w:sz w:val="24"/>
          <w:szCs w:val="24"/>
        </w:rPr>
        <w:t>当前一估值日基金资产净值50%以上的资产出现无可参考的活跃市场价格且采用估值技术</w:t>
      </w:r>
      <w:proofErr w:type="gramStart"/>
      <w:r w:rsidRPr="00372638">
        <w:rPr>
          <w:rFonts w:asciiTheme="minorEastAsia" w:hAnsiTheme="minorEastAsia" w:cs="Arial" w:hint="eastAsia"/>
          <w:sz w:val="24"/>
          <w:szCs w:val="24"/>
        </w:rPr>
        <w:t>仍导致</w:t>
      </w:r>
      <w:proofErr w:type="gramEnd"/>
      <w:r w:rsidRPr="00372638">
        <w:rPr>
          <w:rFonts w:asciiTheme="minorEastAsia" w:hAnsiTheme="minorEastAsia" w:cs="Arial" w:hint="eastAsia"/>
          <w:sz w:val="24"/>
          <w:szCs w:val="24"/>
        </w:rPr>
        <w:t>公允价值存在重大不确定性，并经与基金托管人协商确认后，基金管理人应当暂停估值时；</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(5)法律法规、《基金合同》或中国证监会规定的情况。</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2.程序</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按有关规定须经基金托管人复核的信息披露文件，由基金管理人起草、并经基金托管人复核后由基金管理人公告。发生《基金合同》中规定需要披露的事项时，</w:t>
      </w:r>
      <w:r w:rsidRPr="00372638">
        <w:rPr>
          <w:rFonts w:asciiTheme="minorEastAsia" w:hAnsiTheme="minorEastAsia" w:cs="Arial" w:hint="eastAsia"/>
          <w:sz w:val="24"/>
          <w:szCs w:val="24"/>
        </w:rPr>
        <w:lastRenderedPageBreak/>
        <w:t>按《基金合同》规定公布。</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3.信息文本的存放</w:t>
      </w:r>
    </w:p>
    <w:p w:rsidR="00B333BC" w:rsidRPr="00372638" w:rsidRDefault="00B333BC" w:rsidP="00372638">
      <w:pPr>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B333BC" w:rsidRPr="00372638" w:rsidRDefault="00B333BC" w:rsidP="00372638">
      <w:pPr>
        <w:spacing w:line="360" w:lineRule="auto"/>
        <w:rPr>
          <w:rFonts w:asciiTheme="minorEastAsia" w:hAnsiTheme="minorEastAsia" w:cs="Arial"/>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89" w:name="_Toc124325895"/>
      <w:r w:rsidRPr="00372638">
        <w:rPr>
          <w:rFonts w:asciiTheme="minorEastAsia" w:hAnsiTheme="minorEastAsia" w:cs="Times New Roman" w:hint="eastAsia"/>
          <w:b/>
          <w:sz w:val="24"/>
          <w:szCs w:val="24"/>
        </w:rPr>
        <w:t>十一、基金费用</w:t>
      </w:r>
      <w:bookmarkEnd w:id="89"/>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（一）</w:t>
      </w:r>
      <w:r w:rsidR="00C81E02" w:rsidRPr="00372638">
        <w:rPr>
          <w:rFonts w:asciiTheme="minorEastAsia" w:hAnsiTheme="minorEastAsia" w:cs="Arial" w:hint="eastAsia"/>
          <w:sz w:val="24"/>
          <w:szCs w:val="24"/>
        </w:rPr>
        <w:t>基金</w:t>
      </w:r>
      <w:proofErr w:type="gramStart"/>
      <w:r w:rsidR="00C81E02" w:rsidRPr="00372638">
        <w:rPr>
          <w:rFonts w:asciiTheme="minorEastAsia" w:hAnsiTheme="minorEastAsia" w:cs="Arial" w:hint="eastAsia"/>
          <w:sz w:val="24"/>
          <w:szCs w:val="24"/>
        </w:rPr>
        <w:t>转型日</w:t>
      </w:r>
      <w:proofErr w:type="gramEnd"/>
      <w:r w:rsidR="00C81E02" w:rsidRPr="00372638">
        <w:rPr>
          <w:rFonts w:asciiTheme="minorEastAsia" w:hAnsiTheme="minorEastAsia" w:cs="Arial" w:hint="eastAsia"/>
          <w:sz w:val="24"/>
          <w:szCs w:val="24"/>
        </w:rPr>
        <w:t>之前</w:t>
      </w:r>
      <w:r w:rsidRPr="00372638">
        <w:rPr>
          <w:rFonts w:asciiTheme="minorEastAsia" w:hAnsiTheme="minorEastAsia" w:cs="Arial" w:hint="eastAsia"/>
          <w:sz w:val="24"/>
          <w:szCs w:val="24"/>
        </w:rPr>
        <w:t>基金管理费的计提比例和计提方法</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本基金对基金财产中持有的本基金管理人自身管理的基金部分不收取管理费。本基金的管理费按前一日基金资产净值扣除所持有本基金管理人自身管理的基金所对应的资金资产净值后余额（若为负数，则取0）的0.</w:t>
      </w:r>
      <w:r w:rsidR="00A01A36" w:rsidRPr="00372638">
        <w:rPr>
          <w:rFonts w:asciiTheme="minorEastAsia" w:hAnsiTheme="minorEastAsia" w:cs="Arial"/>
          <w:sz w:val="24"/>
          <w:szCs w:val="24"/>
        </w:rPr>
        <w:t>8</w:t>
      </w:r>
      <w:r w:rsidR="00C81E02" w:rsidRPr="00372638">
        <w:rPr>
          <w:rFonts w:asciiTheme="minorEastAsia" w:hAnsiTheme="minorEastAsia" w:cs="Arial" w:hint="eastAsia"/>
          <w:sz w:val="24"/>
          <w:szCs w:val="24"/>
        </w:rPr>
        <w:t>0</w:t>
      </w:r>
      <w:r w:rsidRPr="00372638">
        <w:rPr>
          <w:rFonts w:asciiTheme="minorEastAsia" w:hAnsiTheme="minorEastAsia" w:cs="Arial" w:hint="eastAsia"/>
          <w:sz w:val="24"/>
          <w:szCs w:val="24"/>
        </w:rPr>
        <w:t>%年费率计提。管理费的计算方法如下：</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H＝E×0.</w:t>
      </w:r>
      <w:r w:rsidR="00A01A36" w:rsidRPr="00372638">
        <w:rPr>
          <w:rFonts w:asciiTheme="minorEastAsia" w:hAnsiTheme="minorEastAsia" w:cs="Arial"/>
          <w:sz w:val="24"/>
          <w:szCs w:val="24"/>
        </w:rPr>
        <w:t>8</w:t>
      </w:r>
      <w:r w:rsidR="00C81E02" w:rsidRPr="00372638">
        <w:rPr>
          <w:rFonts w:asciiTheme="minorEastAsia" w:hAnsiTheme="minorEastAsia" w:cs="Arial" w:hint="eastAsia"/>
          <w:sz w:val="24"/>
          <w:szCs w:val="24"/>
        </w:rPr>
        <w:t>0</w:t>
      </w:r>
      <w:r w:rsidRPr="00372638">
        <w:rPr>
          <w:rFonts w:asciiTheme="minorEastAsia" w:hAnsiTheme="minorEastAsia" w:cs="Arial" w:hint="eastAsia"/>
          <w:sz w:val="24"/>
          <w:szCs w:val="24"/>
        </w:rPr>
        <w:t>%÷当年天数</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H为每日应计提的基金管理费</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E为前一日的基金资产净值扣除所持有本基金管理人自身管理的其他基金所对应的资金资产净值后余额，若为负数，则取0</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（二）</w:t>
      </w:r>
      <w:r w:rsidR="00C81E02" w:rsidRPr="00372638">
        <w:rPr>
          <w:rFonts w:asciiTheme="minorEastAsia" w:hAnsiTheme="minorEastAsia" w:cs="Arial" w:hint="eastAsia"/>
          <w:sz w:val="24"/>
          <w:szCs w:val="24"/>
        </w:rPr>
        <w:t>基金</w:t>
      </w:r>
      <w:proofErr w:type="gramStart"/>
      <w:r w:rsidR="00C81E02" w:rsidRPr="00372638">
        <w:rPr>
          <w:rFonts w:asciiTheme="minorEastAsia" w:hAnsiTheme="minorEastAsia" w:cs="Arial" w:hint="eastAsia"/>
          <w:sz w:val="24"/>
          <w:szCs w:val="24"/>
        </w:rPr>
        <w:t>转型日</w:t>
      </w:r>
      <w:proofErr w:type="gramEnd"/>
      <w:r w:rsidR="00C81E02" w:rsidRPr="00372638">
        <w:rPr>
          <w:rFonts w:asciiTheme="minorEastAsia" w:hAnsiTheme="minorEastAsia" w:cs="Arial" w:hint="eastAsia"/>
          <w:sz w:val="24"/>
          <w:szCs w:val="24"/>
        </w:rPr>
        <w:t>之前</w:t>
      </w:r>
      <w:r w:rsidRPr="00372638">
        <w:rPr>
          <w:rFonts w:asciiTheme="minorEastAsia" w:hAnsiTheme="minorEastAsia" w:cs="Arial" w:hint="eastAsia"/>
          <w:sz w:val="24"/>
          <w:szCs w:val="24"/>
        </w:rPr>
        <w:t>基金托管费的计提比例和计提方法</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本基金对基金财产中持有的本基金托管人自身托管的基金部分不收取托管费。本基金的托管费按前一日基金资产净值扣除所持有本基金托管人自身托管的基金所对应的资金资产净值后余额（若为负数，则取0）的0.</w:t>
      </w:r>
      <w:r w:rsidR="00AF58DF" w:rsidRPr="00372638">
        <w:rPr>
          <w:rFonts w:asciiTheme="minorEastAsia" w:hAnsiTheme="minorEastAsia" w:cs="Arial" w:hint="eastAsia"/>
          <w:sz w:val="24"/>
          <w:szCs w:val="24"/>
        </w:rPr>
        <w:t>20</w:t>
      </w:r>
      <w:r w:rsidRPr="00372638">
        <w:rPr>
          <w:rFonts w:asciiTheme="minorEastAsia" w:hAnsiTheme="minorEastAsia" w:cs="Arial" w:hint="eastAsia"/>
          <w:sz w:val="24"/>
          <w:szCs w:val="24"/>
        </w:rPr>
        <w:t>%的年费率计提。托管费的计算方法如下：</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H＝E×0.</w:t>
      </w:r>
      <w:r w:rsidR="00AF58DF" w:rsidRPr="00372638">
        <w:rPr>
          <w:rFonts w:asciiTheme="minorEastAsia" w:hAnsiTheme="minorEastAsia" w:cs="Arial" w:hint="eastAsia"/>
          <w:sz w:val="24"/>
          <w:szCs w:val="24"/>
        </w:rPr>
        <w:t>20</w:t>
      </w:r>
      <w:r w:rsidRPr="00372638">
        <w:rPr>
          <w:rFonts w:asciiTheme="minorEastAsia" w:hAnsiTheme="minorEastAsia" w:cs="Arial" w:hint="eastAsia"/>
          <w:sz w:val="24"/>
          <w:szCs w:val="24"/>
        </w:rPr>
        <w:t>%÷当年天数</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H为每日应计提的基金托管费</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E为前一日的基金资产净值扣除所持有本基金托管人自身托管的其他基金所对应的资金资产净值后余额，若为负数，则取0</w:t>
      </w:r>
    </w:p>
    <w:p w:rsidR="00C81E02" w:rsidRPr="00372638" w:rsidRDefault="00C81E02"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（三）本基金在2030年</w:t>
      </w:r>
      <w:r w:rsidR="00D7600E" w:rsidRPr="00372638">
        <w:rPr>
          <w:rFonts w:asciiTheme="minorEastAsia" w:hAnsiTheme="minorEastAsia" w:cs="Arial" w:hint="eastAsia"/>
          <w:sz w:val="24"/>
          <w:szCs w:val="24"/>
        </w:rPr>
        <w:t>12月31日</w:t>
      </w:r>
      <w:r w:rsidR="00D7600E" w:rsidRPr="00372638">
        <w:rPr>
          <w:rFonts w:asciiTheme="minorEastAsia" w:hAnsiTheme="minorEastAsia" w:cs="Arial"/>
          <w:sz w:val="24"/>
          <w:szCs w:val="24"/>
        </w:rPr>
        <w:t>的下一工作日</w:t>
      </w:r>
      <w:r w:rsidRPr="00372638">
        <w:rPr>
          <w:rFonts w:asciiTheme="minorEastAsia" w:hAnsiTheme="minorEastAsia" w:cs="Arial" w:hint="eastAsia"/>
          <w:sz w:val="24"/>
          <w:szCs w:val="24"/>
        </w:rPr>
        <w:t>转型为“</w:t>
      </w:r>
      <w:r w:rsidR="00216FA1" w:rsidRPr="00372638">
        <w:rPr>
          <w:rFonts w:asciiTheme="minorEastAsia" w:hAnsiTheme="minorEastAsia" w:cs="Arial" w:hint="eastAsia"/>
          <w:sz w:val="24"/>
          <w:szCs w:val="24"/>
        </w:rPr>
        <w:t>汇添富颐康稳健养老目标一年持有期混合型基金中基金（FOF）</w:t>
      </w:r>
      <w:r w:rsidRPr="00372638">
        <w:rPr>
          <w:rFonts w:asciiTheme="minorEastAsia" w:hAnsiTheme="minorEastAsia" w:cs="Arial" w:hint="eastAsia"/>
          <w:sz w:val="24"/>
          <w:szCs w:val="24"/>
        </w:rPr>
        <w:t>”后，管理费、托管</w:t>
      </w:r>
      <w:proofErr w:type="gramStart"/>
      <w:r w:rsidRPr="00372638">
        <w:rPr>
          <w:rFonts w:asciiTheme="minorEastAsia" w:hAnsiTheme="minorEastAsia" w:cs="Arial" w:hint="eastAsia"/>
          <w:sz w:val="24"/>
          <w:szCs w:val="24"/>
        </w:rPr>
        <w:t>费自基金转型日</w:t>
      </w:r>
      <w:proofErr w:type="gramEnd"/>
      <w:r w:rsidRPr="00372638">
        <w:rPr>
          <w:rFonts w:asciiTheme="minorEastAsia" w:hAnsiTheme="minorEastAsia" w:cs="Arial" w:hint="eastAsia"/>
          <w:sz w:val="24"/>
          <w:szCs w:val="24"/>
        </w:rPr>
        <w:t>当日起按下述标准开始计提：基金管理费按前一日基金资产净值的0.60%的年费率计提，基金托管费按前一日基金资产净值的0.20%的年费率计提，具体计算方式如下：</w:t>
      </w:r>
    </w:p>
    <w:p w:rsidR="00C81E02" w:rsidRPr="00372638" w:rsidRDefault="00C81E02"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lastRenderedPageBreak/>
        <w:t xml:space="preserve">（1）基金管理人的管理费 </w:t>
      </w:r>
    </w:p>
    <w:p w:rsidR="00C81E02" w:rsidRPr="00372638" w:rsidRDefault="00C81E02"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基金对基金财产中持有的本基金管理人自身管理的基金部分不收取管理费。本基金的管理费按前一日基金资产净值扣除所持有本基金管理人自身管理的基金所对应的资金资产净值后余额（若为负数，则取0）的0.60%年费率计提。管理费的计算方法如下：</w:t>
      </w:r>
    </w:p>
    <w:p w:rsidR="00C81E02" w:rsidRPr="00372638" w:rsidRDefault="00C81E02"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H＝E×0.60%÷当年天数</w:t>
      </w:r>
    </w:p>
    <w:p w:rsidR="00C81E02" w:rsidRPr="00372638" w:rsidRDefault="00C81E02"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H为每日应计提的基金管理费</w:t>
      </w:r>
    </w:p>
    <w:p w:rsidR="00C81E02" w:rsidRPr="00372638" w:rsidRDefault="00C81E02"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E为前一日的基金资产净值扣除所持有本基金管理人自身管理的其他基金所对应的资金资产净值后余额，若为负数，则取0</w:t>
      </w:r>
    </w:p>
    <w:p w:rsidR="00C81E02" w:rsidRPr="00372638" w:rsidRDefault="00C81E02"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（2）基金托管人的托管费</w:t>
      </w:r>
    </w:p>
    <w:p w:rsidR="00C81E02" w:rsidRPr="00372638" w:rsidRDefault="00C81E02"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基金对基金财产中持有的本基金托管人自身托管的基金部分不收取托管费。本基金的托管费按前一日基金资产净值扣除所持有本基金托管人自身托管的基金所对应的资金资产净值后余额（若为负数，则取0）的0.20%的年费率计提。托管费的计算方法如下：</w:t>
      </w:r>
    </w:p>
    <w:p w:rsidR="00C81E02" w:rsidRPr="00372638" w:rsidRDefault="00C81E02"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H＝E×0.20%÷当年天数</w:t>
      </w:r>
    </w:p>
    <w:p w:rsidR="00C81E02" w:rsidRPr="00372638" w:rsidRDefault="00C81E02"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H为每日应计提的基金托管费</w:t>
      </w:r>
    </w:p>
    <w:p w:rsidR="00C81E02" w:rsidRPr="00372638" w:rsidRDefault="00C81E02"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E为前一日的基金资产净值扣除所持有本基金托管人自身托管的其他基金所对应的资金资产净值后余额，若为负数，则取0</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w:t>
      </w:r>
      <w:r w:rsidR="00C81E02" w:rsidRPr="00372638">
        <w:rPr>
          <w:rFonts w:asciiTheme="minorEastAsia" w:hAnsiTheme="minorEastAsia" w:cs="Arial" w:hint="eastAsia"/>
          <w:sz w:val="24"/>
          <w:szCs w:val="24"/>
        </w:rPr>
        <w:t>四</w:t>
      </w:r>
      <w:r w:rsidRPr="00372638">
        <w:rPr>
          <w:rFonts w:asciiTheme="minorEastAsia" w:hAnsiTheme="minorEastAsia" w:cs="Arial" w:hint="eastAsia"/>
          <w:sz w:val="24"/>
          <w:szCs w:val="24"/>
        </w:rPr>
        <w:t>）账户开户费用、证券交易费用、基金财产划拨支付的银行费用、账户维护费、《基金合同》生效后的信息披露费用、基金份额持有人大会费用、《基金合同》生效后与基金有关的会计师费、律师费、仲裁费和诉讼费、基金投资其他基金产生的其他基金的销售费用（但法律法规禁止从基金财产中列支的除外）等根据有关法律法规、《基金合同》及相应协议的规定，列入当期基金费用。</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本基金管理人运用本基金财产申购自身管理的其他基金（ETF除外），基金管理人应当通过直销渠道申购且不得收取申购费、赎回费（按照相关法规、基金招募说明书约定应当收取，并记入基金财产的赎回费用除外）、销售服务费等销售费用。</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w:t>
      </w:r>
      <w:r w:rsidR="00C81E02" w:rsidRPr="00372638">
        <w:rPr>
          <w:rFonts w:asciiTheme="minorEastAsia" w:hAnsiTheme="minorEastAsia" w:cs="Arial" w:hint="eastAsia"/>
          <w:sz w:val="24"/>
          <w:szCs w:val="24"/>
        </w:rPr>
        <w:t>五</w:t>
      </w:r>
      <w:r w:rsidRPr="00372638">
        <w:rPr>
          <w:rFonts w:asciiTheme="minorEastAsia" w:hAnsiTheme="minorEastAsia" w:cs="Arial" w:hint="eastAsia"/>
          <w:sz w:val="24"/>
          <w:szCs w:val="24"/>
        </w:rPr>
        <w:t>）不列入基金费用的项目</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lastRenderedPageBreak/>
        <w:t>（</w:t>
      </w:r>
      <w:r w:rsidR="00C81E02" w:rsidRPr="00372638">
        <w:rPr>
          <w:rFonts w:asciiTheme="minorEastAsia" w:hAnsiTheme="minorEastAsia" w:cs="Arial" w:hint="eastAsia"/>
          <w:sz w:val="24"/>
          <w:szCs w:val="24"/>
        </w:rPr>
        <w:t>六</w:t>
      </w:r>
      <w:r w:rsidRPr="00372638">
        <w:rPr>
          <w:rFonts w:asciiTheme="minorEastAsia" w:hAnsiTheme="minorEastAsia" w:cs="Arial" w:hint="eastAsia"/>
          <w:sz w:val="24"/>
          <w:szCs w:val="24"/>
        </w:rPr>
        <w:t>）基金管理费和基金托管费的调整</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基金管理人和基金托管人可以协商一致，并履行适当程序后，调整基金管理费、基金托管费。</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w:t>
      </w:r>
      <w:r w:rsidR="00C81E02" w:rsidRPr="00372638">
        <w:rPr>
          <w:rFonts w:asciiTheme="minorEastAsia" w:hAnsiTheme="minorEastAsia" w:cs="Arial" w:hint="eastAsia"/>
          <w:sz w:val="24"/>
          <w:szCs w:val="24"/>
        </w:rPr>
        <w:t>七</w:t>
      </w:r>
      <w:r w:rsidRPr="00372638">
        <w:rPr>
          <w:rFonts w:asciiTheme="minorEastAsia" w:hAnsiTheme="minorEastAsia" w:cs="Arial" w:hint="eastAsia"/>
          <w:sz w:val="24"/>
          <w:szCs w:val="24"/>
        </w:rPr>
        <w:t>）基金管理费和基金托管费的复核程序、支付方式和时间</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1.复核程序</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基金托管人对基金管理人计提的基金管理费和基金托管费等，根据本托管协议和《基金合同》的有关规定进行复核。</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2.支付方式和时间</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基金管理费、基金托管费每日计提，逐日累计至每月月末，按月支付。由基金托管人根据与基金管理人核对一致的财务数据，自动在月初5</w:t>
      </w:r>
      <w:proofErr w:type="gramStart"/>
      <w:r w:rsidRPr="00372638">
        <w:rPr>
          <w:rFonts w:asciiTheme="minorEastAsia" w:hAnsiTheme="minorEastAsia" w:cs="Arial" w:hint="eastAsia"/>
          <w:sz w:val="24"/>
          <w:szCs w:val="24"/>
        </w:rPr>
        <w:t>个</w:t>
      </w:r>
      <w:proofErr w:type="gramEnd"/>
      <w:r w:rsidRPr="00372638">
        <w:rPr>
          <w:rFonts w:asciiTheme="minorEastAsia" w:hAnsiTheme="minorEastAsia" w:cs="Arial" w:hint="eastAsia"/>
          <w:sz w:val="24"/>
          <w:szCs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在首期支付基金管理费前，基金管理人应向基金托管人出具正式函件指定基金管理费的收款账户。基金管理人如需要</w:t>
      </w:r>
      <w:proofErr w:type="gramStart"/>
      <w:r w:rsidRPr="00372638">
        <w:rPr>
          <w:rFonts w:asciiTheme="minorEastAsia" w:hAnsiTheme="minorEastAsia" w:cs="Arial" w:hint="eastAsia"/>
          <w:sz w:val="24"/>
          <w:szCs w:val="24"/>
        </w:rPr>
        <w:t>变更此</w:t>
      </w:r>
      <w:proofErr w:type="gramEnd"/>
      <w:r w:rsidRPr="00372638">
        <w:rPr>
          <w:rFonts w:asciiTheme="minorEastAsia" w:hAnsiTheme="minorEastAsia" w:cs="Arial" w:hint="eastAsia"/>
          <w:sz w:val="24"/>
          <w:szCs w:val="24"/>
        </w:rPr>
        <w:t>账户，应提前5个工作日向基金托管人出具书面的收款账户变更通知。</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w:t>
      </w:r>
      <w:r w:rsidR="00C81E02" w:rsidRPr="00372638">
        <w:rPr>
          <w:rFonts w:asciiTheme="minorEastAsia" w:hAnsiTheme="minorEastAsia" w:cs="Arial" w:hint="eastAsia"/>
          <w:sz w:val="24"/>
          <w:szCs w:val="24"/>
        </w:rPr>
        <w:t>八</w:t>
      </w:r>
      <w:r w:rsidRPr="00372638">
        <w:rPr>
          <w:rFonts w:asciiTheme="minorEastAsia" w:hAnsiTheme="minorEastAsia" w:cs="Arial" w:hint="eastAsia"/>
          <w:sz w:val="24"/>
          <w:szCs w:val="24"/>
        </w:rPr>
        <w:t>）违规处理方式</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B333BC" w:rsidRPr="00372638" w:rsidRDefault="00B333BC" w:rsidP="00372638">
      <w:pPr>
        <w:adjustRightInd w:val="0"/>
        <w:snapToGrid w:val="0"/>
        <w:spacing w:line="360" w:lineRule="auto"/>
        <w:rPr>
          <w:rFonts w:asciiTheme="minorEastAsia" w:hAnsiTheme="minorEastAsia" w:cs="Arial"/>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90" w:name="_Toc124325896"/>
      <w:r w:rsidRPr="00372638">
        <w:rPr>
          <w:rFonts w:asciiTheme="minorEastAsia" w:hAnsiTheme="minorEastAsia" w:cs="Times New Roman" w:hint="eastAsia"/>
          <w:b/>
          <w:sz w:val="24"/>
          <w:szCs w:val="24"/>
        </w:rPr>
        <w:t>十二、基金份额持有人名册的保管</w:t>
      </w:r>
      <w:bookmarkEnd w:id="90"/>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在基金托管人要求或编制半年报和年报前，基金管理人应将有关资料送交基金托管人，不得无故拒绝或延误提供，并保证其真实性、准确性和完整性。</w:t>
      </w:r>
      <w:r w:rsidRPr="00372638">
        <w:rPr>
          <w:rFonts w:asciiTheme="minorEastAsia" w:hAnsiTheme="minorEastAsia" w:cs="Times New Roman" w:hint="eastAsia"/>
          <w:kern w:val="0"/>
          <w:sz w:val="24"/>
          <w:szCs w:val="24"/>
        </w:rPr>
        <w:t>基金托管人不得将所保管的基金份额持有人名册用于基金托管业务以外的其他用途，并</w:t>
      </w:r>
      <w:r w:rsidRPr="00372638">
        <w:rPr>
          <w:rFonts w:asciiTheme="minorEastAsia" w:hAnsiTheme="minorEastAsia" w:cs="Times New Roman" w:hint="eastAsia"/>
          <w:kern w:val="0"/>
          <w:sz w:val="24"/>
          <w:szCs w:val="24"/>
        </w:rPr>
        <w:lastRenderedPageBreak/>
        <w:t>应遵守保密义务。</w:t>
      </w:r>
    </w:p>
    <w:p w:rsidR="00B333BC" w:rsidRPr="00372638" w:rsidRDefault="00B333BC" w:rsidP="00372638">
      <w:pPr>
        <w:adjustRightInd w:val="0"/>
        <w:snapToGrid w:val="0"/>
        <w:spacing w:line="360" w:lineRule="auto"/>
        <w:rPr>
          <w:rFonts w:asciiTheme="minorEastAsia" w:hAnsiTheme="minorEastAsia" w:cs="Arial"/>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91" w:name="_Toc124325897"/>
      <w:r w:rsidRPr="00372638">
        <w:rPr>
          <w:rFonts w:asciiTheme="minorEastAsia" w:hAnsiTheme="minorEastAsia" w:cs="Times New Roman" w:hint="eastAsia"/>
          <w:b/>
          <w:sz w:val="24"/>
          <w:szCs w:val="24"/>
        </w:rPr>
        <w:t>十三、基金有关文件档案的保存</w:t>
      </w:r>
      <w:bookmarkEnd w:id="91"/>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（一）档案保存</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（二）合同档案的建立</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1.基金管理人签署重大合同文本后，应及时将合同文本正本送达基金托管人处。</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2.基金管理人应及时将与本基金账务处理、资金划拨等有关的合同、协议传真基金托管人。</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（三）变更与协助</w:t>
      </w:r>
    </w:p>
    <w:p w:rsidR="00B333BC" w:rsidRPr="00372638" w:rsidRDefault="00B333BC" w:rsidP="00372638">
      <w:pPr>
        <w:adjustRightInd w:val="0"/>
        <w:snapToGrid w:val="0"/>
        <w:spacing w:line="360" w:lineRule="auto"/>
        <w:ind w:firstLineChars="200" w:firstLine="480"/>
        <w:rPr>
          <w:rFonts w:asciiTheme="minorEastAsia" w:hAnsiTheme="minorEastAsia" w:cs="Times New Roman"/>
          <w:b/>
          <w:bCs/>
          <w:sz w:val="24"/>
          <w:szCs w:val="24"/>
        </w:rPr>
      </w:pPr>
      <w:proofErr w:type="gramStart"/>
      <w:r w:rsidRPr="00372638">
        <w:rPr>
          <w:rFonts w:asciiTheme="minorEastAsia" w:hAnsiTheme="minorEastAsia" w:cs="Arial" w:hint="eastAsia"/>
          <w:sz w:val="24"/>
          <w:szCs w:val="24"/>
        </w:rPr>
        <w:t>若基金</w:t>
      </w:r>
      <w:proofErr w:type="gramEnd"/>
      <w:r w:rsidRPr="00372638">
        <w:rPr>
          <w:rFonts w:asciiTheme="minorEastAsia" w:hAnsiTheme="minorEastAsia" w:cs="Arial" w:hint="eastAsia"/>
          <w:sz w:val="24"/>
          <w:szCs w:val="24"/>
        </w:rPr>
        <w:t>管理人/基金托管人发生变更，未变更的一方有义务协助变更后的接任人接收相应文件。</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（四）基金管理人和基金托管人应按各自职责完整保存原始凭证、记账凭证、基金账册、交易记录和重要合同等，承担保密义务并保存至少十五年以上。</w:t>
      </w:r>
    </w:p>
    <w:p w:rsidR="00B333BC" w:rsidRPr="00372638" w:rsidRDefault="00B333BC" w:rsidP="00372638">
      <w:pPr>
        <w:adjustRightInd w:val="0"/>
        <w:snapToGrid w:val="0"/>
        <w:spacing w:line="360" w:lineRule="auto"/>
        <w:rPr>
          <w:rFonts w:asciiTheme="minorEastAsia" w:hAnsiTheme="minorEastAsia" w:cs="Times New Roman"/>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92" w:name="_Toc124325898"/>
      <w:r w:rsidRPr="00372638">
        <w:rPr>
          <w:rFonts w:asciiTheme="minorEastAsia" w:hAnsiTheme="minorEastAsia" w:cs="Times New Roman" w:hint="eastAsia"/>
          <w:b/>
          <w:sz w:val="24"/>
          <w:szCs w:val="24"/>
        </w:rPr>
        <w:t>十四、基金管理人和基金托管人的更换</w:t>
      </w:r>
      <w:bookmarkEnd w:id="92"/>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（一）基金管理人职责终止的情形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1.基金管理人职责终止的情形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有下列情形之一的，基金管理人职责终止：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(1)被依法取消基金管理资格；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(2)依法解散、被依法撤销或被依法宣告破产；</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(3)被基金份额持有人大会解任；</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(4)法律法规及中国证监会规定的和《基金合同》约定的其他情形。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2.基金管理人的更换程序</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更换基金管理人必须依照如下程序进行：</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lastRenderedPageBreak/>
        <w:t>(1)提名：</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管理人由基金托管人</w:t>
      </w:r>
      <w:r w:rsidRPr="00372638">
        <w:rPr>
          <w:rFonts w:asciiTheme="minorEastAsia" w:hAnsiTheme="minorEastAsia" w:cs="Times New Roman" w:hint="eastAsia"/>
          <w:sz w:val="24"/>
          <w:szCs w:val="24"/>
        </w:rPr>
        <w:t>或由单独或合计持有10%以上(含10%)基金份额的基金份额持有人</w:t>
      </w:r>
      <w:r w:rsidRPr="00372638">
        <w:rPr>
          <w:rFonts w:asciiTheme="minorEastAsia" w:hAnsiTheme="minorEastAsia" w:cs="Arial" w:hint="eastAsia"/>
          <w:sz w:val="24"/>
          <w:szCs w:val="24"/>
        </w:rPr>
        <w:t>提名；</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(3)临时基金管理人：</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管理人产生之前，由中国证监会指定临时基金管理人；</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(4)备案：基金份额持有人大会选任基金管理人的决议须报中国证监会备案；</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(5)公告：基金管理人更换后，由基金托管人在更换基金管理人的基金份额持有人大会决议生效后2日内在指定媒介公告；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(6)交接：基金管理人职责终止的，基金管理人应妥善保管基金管理业务资料，及时向临时基金管理人或</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管理人办理基金管理业务的移交手续，临时基金管理人或</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管理人应及时接收。临时基金管理人或</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管理人应与基金托管人核对基金资产总值；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(7)审计：基金管理人职责终止的，应当按照法律法规规定聘请会计师事务所对基金财产进行审计，并将审计结果予以公告，同时报中国证监会备案；审计费用在基金财产中列支；</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(8)基金名称变更：基金管理人更换后，如果原任或</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管理人要求，应按其要求替换或删除基金名称中与</w:t>
      </w:r>
      <w:proofErr w:type="gramStart"/>
      <w:r w:rsidRPr="00372638">
        <w:rPr>
          <w:rFonts w:asciiTheme="minorEastAsia" w:hAnsiTheme="minorEastAsia" w:cs="Arial" w:hint="eastAsia"/>
          <w:sz w:val="24"/>
          <w:szCs w:val="24"/>
        </w:rPr>
        <w:t>原基金</w:t>
      </w:r>
      <w:proofErr w:type="gramEnd"/>
      <w:r w:rsidRPr="00372638">
        <w:rPr>
          <w:rFonts w:asciiTheme="minorEastAsia" w:hAnsiTheme="minorEastAsia" w:cs="Arial" w:hint="eastAsia"/>
          <w:sz w:val="24"/>
          <w:szCs w:val="24"/>
        </w:rPr>
        <w:t>管理人有关的名称字样。</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（二）基金托管人职责终止的情形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1.基金托管人职责终止的情形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有下列情形之一的，基金托管人职责终止：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(1)被依法取消基金托管资格；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(2)依法解散、被依法撤销或被依法宣告破产；</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(3)被基金份额持有人大会解任；</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(4)法律法规及中国证监会规定的和《基金合同》约定的其他情形。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2.基金托管人的更换程序</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(1)提名：</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托管人由基金管理人</w:t>
      </w:r>
      <w:r w:rsidRPr="00372638">
        <w:rPr>
          <w:rFonts w:asciiTheme="minorEastAsia" w:hAnsiTheme="minorEastAsia" w:cs="Times New Roman" w:hint="eastAsia"/>
          <w:sz w:val="24"/>
          <w:szCs w:val="24"/>
        </w:rPr>
        <w:t>或由单独或合计持有10%以上(含10%)基金份额的基金份额持有人</w:t>
      </w:r>
      <w:r w:rsidRPr="00372638">
        <w:rPr>
          <w:rFonts w:asciiTheme="minorEastAsia" w:hAnsiTheme="minorEastAsia" w:cs="Arial" w:hint="eastAsia"/>
          <w:sz w:val="24"/>
          <w:szCs w:val="24"/>
        </w:rPr>
        <w:t>提名；</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(2)决议：基金份额持有人大会在基金托管人职责终止后6个月内对被提名的</w:t>
      </w:r>
      <w:r w:rsidRPr="00372638">
        <w:rPr>
          <w:rFonts w:asciiTheme="minorEastAsia" w:hAnsiTheme="minorEastAsia" w:cs="Arial" w:hint="eastAsia"/>
          <w:sz w:val="24"/>
          <w:szCs w:val="24"/>
        </w:rPr>
        <w:lastRenderedPageBreak/>
        <w:t>基金托管人形成决议，该决议需经参加大会的基金份额持有人所持表决权的三分之二以上(含三分之二)表决通过；</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(3)临时基金托管人：</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托管人产生之前，由中国证监会指定临时基金托管人；</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(4)备案：基金份额持有人大会更换基金托管人的决议须报中国证监会备案；</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(5)公告：基金托管人更换后，由基金管理人在更换基金托管人的基金份额持有人大会决议生效后 2日内在指定媒介公告；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(6)交接：基金托管人职责终止的，应当妥善保管基金财产和基金托管业务资料，及时办理基金财产和基金托管业务的移交手续，</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托管人或者临时基金托管人应当及时接收。</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托管人或临时基金托管人与基金管理人核对基金资产总值；</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(7)审计：基金托管人职责终止的，应当按照法律法规规定聘请会计师事务所对基金财产进行审计，并将审计结果予以公告，同时报中国证监会备案。审计费用在基金财产中列支。</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（三）基金管理人与基金托管人同时更换的条件和程序</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1.提名：如果基金管理人和基金托管人同时更换，由单独或合计持有基金总份额10%以上(含10%)的基金份额持有人提名新的基金管理人和基金托管人；</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2.基金管理人和基金托管人的更换分别按上述程序进行；</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3.公告：</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管理人和</w:t>
      </w:r>
      <w:proofErr w:type="gramStart"/>
      <w:r w:rsidRPr="00372638">
        <w:rPr>
          <w:rFonts w:asciiTheme="minorEastAsia" w:hAnsiTheme="minorEastAsia" w:cs="Arial" w:hint="eastAsia"/>
          <w:sz w:val="24"/>
          <w:szCs w:val="24"/>
        </w:rPr>
        <w:t>新任基金</w:t>
      </w:r>
      <w:proofErr w:type="gramEnd"/>
      <w:r w:rsidRPr="00372638">
        <w:rPr>
          <w:rFonts w:asciiTheme="minorEastAsia" w:hAnsiTheme="minorEastAsia" w:cs="Arial" w:hint="eastAsia"/>
          <w:sz w:val="24"/>
          <w:szCs w:val="24"/>
        </w:rPr>
        <w:t>托管人应在更换基金管理人和基金托管人的基金份额持有人大会决议生效后2日内在指定媒介上联合公告。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（四）新任或临时基金管理人接收基金管理业务或新任或临时基金托管人接收基金财产和基金托管业务前，</w:t>
      </w:r>
      <w:proofErr w:type="gramStart"/>
      <w:r w:rsidRPr="00372638">
        <w:rPr>
          <w:rFonts w:asciiTheme="minorEastAsia" w:hAnsiTheme="minorEastAsia" w:cs="Arial" w:hint="eastAsia"/>
          <w:sz w:val="24"/>
          <w:szCs w:val="24"/>
        </w:rPr>
        <w:t>原基金</w:t>
      </w:r>
      <w:proofErr w:type="gramEnd"/>
      <w:r w:rsidRPr="00372638">
        <w:rPr>
          <w:rFonts w:asciiTheme="minorEastAsia" w:hAnsiTheme="minorEastAsia" w:cs="Arial" w:hint="eastAsia"/>
          <w:sz w:val="24"/>
          <w:szCs w:val="24"/>
        </w:rPr>
        <w:t>管理人或</w:t>
      </w:r>
      <w:proofErr w:type="gramStart"/>
      <w:r w:rsidRPr="00372638">
        <w:rPr>
          <w:rFonts w:asciiTheme="minorEastAsia" w:hAnsiTheme="minorEastAsia" w:cs="Arial" w:hint="eastAsia"/>
          <w:sz w:val="24"/>
          <w:szCs w:val="24"/>
        </w:rPr>
        <w:t>原基金</w:t>
      </w:r>
      <w:proofErr w:type="gramEnd"/>
      <w:r w:rsidRPr="00372638">
        <w:rPr>
          <w:rFonts w:asciiTheme="minorEastAsia" w:hAnsiTheme="minorEastAsia" w:cs="Arial" w:hint="eastAsia"/>
          <w:sz w:val="24"/>
          <w:szCs w:val="24"/>
        </w:rPr>
        <w:t>托管人应继续履行相关职责，并保证不做出对基金份额持有人的利益造成损害的行为。</w:t>
      </w:r>
    </w:p>
    <w:p w:rsidR="00B333BC" w:rsidRPr="00372638" w:rsidRDefault="00B333BC" w:rsidP="00372638">
      <w:pPr>
        <w:adjustRightInd w:val="0"/>
        <w:snapToGrid w:val="0"/>
        <w:spacing w:line="360" w:lineRule="auto"/>
        <w:rPr>
          <w:rFonts w:asciiTheme="minorEastAsia" w:hAnsiTheme="minorEastAsia" w:cs="Arial"/>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93" w:name="_Toc124325899"/>
      <w:r w:rsidRPr="00372638">
        <w:rPr>
          <w:rFonts w:asciiTheme="minorEastAsia" w:hAnsiTheme="minorEastAsia" w:cs="Times New Roman" w:hint="eastAsia"/>
          <w:b/>
          <w:sz w:val="24"/>
          <w:szCs w:val="24"/>
        </w:rPr>
        <w:t>十五、禁止行为</w:t>
      </w:r>
      <w:bookmarkEnd w:id="93"/>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本协议当事人禁止从事的行为，包括但不限于：</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（一）基金管理人、基金托管人将其固有财产或者他人财产混同于基金财产从事证券投资。</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（二）基金管理人不公平地对待其管理的不同基金财产，基金托管人不公平地</w:t>
      </w:r>
      <w:r w:rsidRPr="00372638">
        <w:rPr>
          <w:rFonts w:asciiTheme="minorEastAsia" w:hAnsiTheme="minorEastAsia" w:cs="Times New Roman" w:hint="eastAsia"/>
          <w:sz w:val="24"/>
          <w:szCs w:val="24"/>
        </w:rPr>
        <w:lastRenderedPageBreak/>
        <w:t>对待其托管的不同基金财产。</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（三）基金管理人、基金托管人利用基金财产为基金份额持有人以外的第三人牟取利益。</w:t>
      </w:r>
    </w:p>
    <w:p w:rsidR="00B333BC" w:rsidRPr="00372638" w:rsidRDefault="00B333BC" w:rsidP="00372638">
      <w:pPr>
        <w:spacing w:line="360" w:lineRule="auto"/>
        <w:ind w:firstLineChars="200" w:firstLine="480"/>
        <w:rPr>
          <w:rFonts w:asciiTheme="minorEastAsia" w:hAnsiTheme="minorEastAsia" w:cs="Times New Roman"/>
          <w:sz w:val="24"/>
          <w:szCs w:val="24"/>
        </w:rPr>
      </w:pPr>
      <w:r w:rsidRPr="00372638">
        <w:rPr>
          <w:rFonts w:asciiTheme="minorEastAsia" w:hAnsiTheme="minorEastAsia" w:cs="Times New Roman" w:hint="eastAsia"/>
          <w:sz w:val="24"/>
          <w:szCs w:val="24"/>
        </w:rPr>
        <w:t>（四）基金管理人、基金托管人向基金份额持有人违规承诺收益或者承担损失。</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（五）基金管理人、基金托管人对他人泄漏基金运作和管理过程中任何尚未按法律法规规定的方式公开披露的信息。</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（六）基金管理人在没有充足资金的情况下向基金托管人发出投资指令和赎回、分红资金的划拨指令，或违规向基金托管人发出指令。</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（七）基金管理人、基金托管人在行政上、财务上不</w:t>
      </w:r>
      <w:proofErr w:type="gramStart"/>
      <w:r w:rsidRPr="00372638">
        <w:rPr>
          <w:rFonts w:asciiTheme="minorEastAsia" w:hAnsiTheme="minorEastAsia" w:cs="Arial" w:hint="eastAsia"/>
          <w:sz w:val="24"/>
          <w:szCs w:val="24"/>
        </w:rPr>
        <w:t>独立,</w:t>
      </w:r>
      <w:proofErr w:type="gramEnd"/>
      <w:r w:rsidRPr="00372638">
        <w:rPr>
          <w:rFonts w:asciiTheme="minorEastAsia" w:hAnsiTheme="minorEastAsia" w:cs="Arial" w:hint="eastAsia"/>
          <w:sz w:val="24"/>
          <w:szCs w:val="24"/>
        </w:rPr>
        <w:t xml:space="preserve"> 其高级管理人员和其他从业人员相互兼职。</w:t>
      </w:r>
    </w:p>
    <w:p w:rsidR="00B333BC" w:rsidRPr="00372638" w:rsidRDefault="00B333BC" w:rsidP="00372638">
      <w:pPr>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（八）基金托管人私自动用或处分基金财产，根据基金管理人的合法指令、《基金合同》或托管协议的规定进行处分的除外。</w:t>
      </w:r>
    </w:p>
    <w:p w:rsidR="00B333BC" w:rsidRPr="00372638" w:rsidRDefault="00B333BC" w:rsidP="00372638">
      <w:pPr>
        <w:spacing w:line="360" w:lineRule="auto"/>
        <w:ind w:firstLineChars="200" w:firstLine="480"/>
        <w:rPr>
          <w:rFonts w:asciiTheme="minorEastAsia" w:hAnsiTheme="minorEastAsia" w:cs="Arial"/>
          <w:sz w:val="24"/>
          <w:szCs w:val="24"/>
        </w:rPr>
      </w:pPr>
      <w:r w:rsidRPr="00372638">
        <w:rPr>
          <w:rFonts w:asciiTheme="minorEastAsia" w:hAnsiTheme="minorEastAsia" w:cs="Times New Roman" w:hint="eastAsia"/>
          <w:sz w:val="24"/>
          <w:szCs w:val="24"/>
        </w:rPr>
        <w:t>（九）</w:t>
      </w:r>
      <w:r w:rsidRPr="00372638">
        <w:rPr>
          <w:rFonts w:asciiTheme="minorEastAsia" w:hAnsiTheme="minorEastAsia" w:cs="Arial" w:hint="eastAsia"/>
          <w:sz w:val="24"/>
          <w:szCs w:val="24"/>
        </w:rPr>
        <w:t>基金财产</w:t>
      </w:r>
      <w:r w:rsidRPr="00372638">
        <w:rPr>
          <w:rFonts w:asciiTheme="minorEastAsia" w:hAnsiTheme="minorEastAsia" w:cs="Times New Roman" w:hint="eastAsia"/>
          <w:sz w:val="24"/>
          <w:szCs w:val="24"/>
        </w:rPr>
        <w:t>用于下列投资或者活动：1.承销证券；2.违反规定向他人贷款或者提供担保；3.从事承担无限责任的投资；4.向其基金管理人、基金托管人出资；5.从事内幕交易、操纵证券交易价格及其他不正当的证券交易活动；6. 本基金不得持有具有复杂、衍生品性质的基金份额，包括分级基金份额和中国证监会认定的其他基金份额；7.法律、行政法规和中国证监会规定禁止的其他活动。</w:t>
      </w:r>
      <w:r w:rsidRPr="00372638">
        <w:rPr>
          <w:rFonts w:asciiTheme="minorEastAsia" w:hAnsiTheme="minorEastAsia" w:cs="Arial" w:hint="eastAsia"/>
          <w:sz w:val="24"/>
          <w:szCs w:val="24"/>
        </w:rPr>
        <w:t>法律法规或监管部门取消或变更上述限制，如适用于本基金，在基金管理人履行适当程序后，则本基金投资不再受相关限制或以变更后的规定为准</w:t>
      </w:r>
      <w:r w:rsidRPr="00372638">
        <w:rPr>
          <w:rFonts w:asciiTheme="minorEastAsia" w:hAnsiTheme="minorEastAsia" w:cs="Times New Roman" w:hint="eastAsia"/>
          <w:sz w:val="24"/>
          <w:szCs w:val="24"/>
        </w:rPr>
        <w:t>。</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（十）法律法规和《基金合同》禁止的其他行为，以及</w:t>
      </w:r>
      <w:r w:rsidRPr="00372638">
        <w:rPr>
          <w:rFonts w:asciiTheme="minorEastAsia" w:hAnsiTheme="minorEastAsia" w:cs="Times New Roman" w:hint="eastAsia"/>
          <w:sz w:val="24"/>
          <w:szCs w:val="24"/>
        </w:rPr>
        <w:t>依照法律、行政法规有关规定，由中国证监会规定禁止基金管理人、基金托管人从事的其他行为。</w:t>
      </w:r>
    </w:p>
    <w:p w:rsidR="00B333BC" w:rsidRPr="00372638" w:rsidRDefault="00B333BC" w:rsidP="00372638">
      <w:pPr>
        <w:adjustRightInd w:val="0"/>
        <w:snapToGrid w:val="0"/>
        <w:spacing w:line="360" w:lineRule="auto"/>
        <w:rPr>
          <w:rFonts w:asciiTheme="minorEastAsia" w:hAnsiTheme="minorEastAsia" w:cs="Times New Roman"/>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94" w:name="_Toc124325900"/>
      <w:r w:rsidRPr="00372638">
        <w:rPr>
          <w:rFonts w:asciiTheme="minorEastAsia" w:hAnsiTheme="minorEastAsia" w:cs="Times New Roman" w:hint="eastAsia"/>
          <w:b/>
          <w:sz w:val="24"/>
          <w:szCs w:val="24"/>
        </w:rPr>
        <w:t>十六、托管协议的变更、终止与基金财产的清算</w:t>
      </w:r>
      <w:bookmarkEnd w:id="94"/>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（一）托管协议的变更程序</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本协议双方当事人经协商一致，可以对协议进行修改。修改后的新协议，其内容不得与《基金合同》的规定有任何冲突。基金托管协议的变更应报中国证监会备案。</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（二）托管协议终止的情形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1.《基金合同》终止；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lastRenderedPageBreak/>
        <w:t>2.基金托管人解散、依法被撤销、破产或由其他基金托管人接管基金资产；</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3.基金管理人解散、依法被撤销、破产或由其他基金管理人接管基金管理权；</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4.发生法律法规或《基金合同》规定的终止事项。</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（三）基金财产的清算</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1.基金财产清算小组：自出现《基金合同》终止事由之日起30个工作日内成立清算小组，基金管理人组织基金财产清算小组并在中国证监会的监督下进行基金清算。</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3.基金财产清算小组职责：基金财产清算小组负责基金财产的保管、清理、估价、变现和分配。基金财产清算小组可以依法进行必要的民事活动。</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4.基金财产清算程序：</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(1)《基金合同》终止情形出现时，由基金财产清算小组统一接管基金；</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(2)对基金财产和债权债务进行清理和确认；</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(3)对基金财产进行估值和变现；</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(4)制作清算报告；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(5)聘请会计师事务所对清算报告进行外部审计，聘请律师事务所对清算报告出具法律意见书；</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(6)将清算结果报中国证监会备案并公告；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(7)对基金剩余财产进行分配。</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5.基金财产清算的期限为6个月。</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6.清算费用</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清算费用是指基金财产清算小组在进行基金清算过程中发生的所有合理费用，清算费用由基金财产清算小组优先从基金财产中支付。</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7.基金财产清算剩余资产的分配：</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8.基金财产清算的公告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lastRenderedPageBreak/>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9.基金财产清算账册及文件的保存</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基金财产清算账册及有关文件由基金托管人保存15年以上。</w:t>
      </w:r>
    </w:p>
    <w:p w:rsidR="00B333BC" w:rsidRPr="00372638" w:rsidRDefault="00B333BC" w:rsidP="00372638">
      <w:pPr>
        <w:adjustRightInd w:val="0"/>
        <w:snapToGrid w:val="0"/>
        <w:spacing w:line="360" w:lineRule="auto"/>
        <w:rPr>
          <w:rFonts w:asciiTheme="minorEastAsia" w:hAnsiTheme="minorEastAsia" w:cs="Arial"/>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95" w:name="_Toc124325901"/>
      <w:r w:rsidRPr="00372638">
        <w:rPr>
          <w:rFonts w:asciiTheme="minorEastAsia" w:hAnsiTheme="minorEastAsia" w:cs="Times New Roman" w:hint="eastAsia"/>
          <w:b/>
          <w:sz w:val="24"/>
          <w:szCs w:val="24"/>
        </w:rPr>
        <w:t>十七、违约责任</w:t>
      </w:r>
      <w:bookmarkEnd w:id="95"/>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（一）基金管理人、基金托管人不履行本协议或履行本协议不符合约定的，应当承担违约责任。</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1.不可抗力；</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2.基金管理人和/或基金托管人按照当时有效的法律法规或中国证监会的规定作为或不作为而造成的损失等；</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3.基金管理人由于按照基金合同规定的投资原则行使或不行使其投资权而造成的损失等。</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4.非因基金管理人、基金托管人的故意或重大过失造成的计算机系统故障、网络故障、通讯故障、电力故障、计算机病毒攻击及其它意外事故所导致的损失等。</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t>（五）违约行为虽已发生，但本托管协议能够继续履行的，在最大限度地保护基金份额持有人利益的前提下，基金管理人和基金托管人应当继续履行本协议。</w:t>
      </w:r>
    </w:p>
    <w:p w:rsidR="00B333BC" w:rsidRPr="00372638" w:rsidRDefault="00B333BC" w:rsidP="00372638">
      <w:pPr>
        <w:adjustRightInd w:val="0"/>
        <w:snapToGrid w:val="0"/>
        <w:spacing w:line="360" w:lineRule="auto"/>
        <w:ind w:firstLineChars="200" w:firstLine="480"/>
        <w:outlineLvl w:val="0"/>
        <w:rPr>
          <w:rFonts w:asciiTheme="minorEastAsia" w:hAnsiTheme="minorEastAsia" w:cs="Arial"/>
          <w:sz w:val="24"/>
          <w:szCs w:val="24"/>
        </w:rPr>
      </w:pPr>
      <w:r w:rsidRPr="00372638">
        <w:rPr>
          <w:rFonts w:asciiTheme="minorEastAsia" w:hAnsiTheme="minorEastAsia" w:cs="Arial" w:hint="eastAsia"/>
          <w:sz w:val="24"/>
          <w:szCs w:val="24"/>
        </w:rPr>
        <w:lastRenderedPageBreak/>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B333BC" w:rsidRPr="00372638" w:rsidRDefault="00B333BC" w:rsidP="00372638">
      <w:pPr>
        <w:adjustRightInd w:val="0"/>
        <w:snapToGrid w:val="0"/>
        <w:spacing w:line="360" w:lineRule="auto"/>
        <w:outlineLvl w:val="0"/>
        <w:rPr>
          <w:rFonts w:asciiTheme="minorEastAsia" w:hAnsiTheme="minorEastAsia" w:cs="Arial"/>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96" w:name="_Toc124325902"/>
      <w:r w:rsidRPr="00372638">
        <w:rPr>
          <w:rFonts w:asciiTheme="minorEastAsia" w:hAnsiTheme="minorEastAsia" w:cs="Times New Roman" w:hint="eastAsia"/>
          <w:b/>
          <w:sz w:val="24"/>
          <w:szCs w:val="24"/>
        </w:rPr>
        <w:t>十八、争议解决方式</w:t>
      </w:r>
      <w:bookmarkEnd w:id="96"/>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本协议受中国法律管辖。</w:t>
      </w:r>
    </w:p>
    <w:p w:rsidR="00B333BC" w:rsidRPr="00372638" w:rsidRDefault="00B333BC" w:rsidP="00372638">
      <w:pPr>
        <w:adjustRightInd w:val="0"/>
        <w:snapToGrid w:val="0"/>
        <w:spacing w:line="360" w:lineRule="auto"/>
        <w:rPr>
          <w:rFonts w:asciiTheme="minorEastAsia" w:hAnsiTheme="minorEastAsia" w:cs="Arial"/>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97" w:name="_Toc124325903"/>
      <w:r w:rsidRPr="00372638">
        <w:rPr>
          <w:rFonts w:asciiTheme="minorEastAsia" w:hAnsiTheme="minorEastAsia" w:cs="Times New Roman" w:hint="eastAsia"/>
          <w:b/>
          <w:sz w:val="24"/>
          <w:szCs w:val="24"/>
        </w:rPr>
        <w:t>十九、托管协议的效力</w:t>
      </w:r>
      <w:bookmarkEnd w:id="97"/>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双方对托管协议的效力约定如下：</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（二）托管协议自《基金合同》成立之日起成立，自《基金合同》生效之日起生效。托管协议的有效期自其生效之日起至基金财产清算结果报中国证监会备案并公告之日止。</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（三）托管协议自生效之日起对托管协议当事人具有同等的法律约束力。</w:t>
      </w:r>
    </w:p>
    <w:p w:rsidR="00B333BC" w:rsidRPr="00372638" w:rsidRDefault="00B333BC" w:rsidP="00372638">
      <w:pPr>
        <w:adjustRightInd w:val="0"/>
        <w:snapToGrid w:val="0"/>
        <w:spacing w:line="360" w:lineRule="auto"/>
        <w:ind w:firstLineChars="200" w:firstLine="480"/>
        <w:rPr>
          <w:rFonts w:asciiTheme="minorEastAsia" w:hAnsiTheme="minorEastAsia" w:cs="Times New Roman"/>
          <w:sz w:val="24"/>
          <w:szCs w:val="24"/>
        </w:rPr>
      </w:pPr>
      <w:r w:rsidRPr="00372638">
        <w:rPr>
          <w:rFonts w:asciiTheme="minorEastAsia" w:hAnsiTheme="minorEastAsia" w:cs="Arial" w:hint="eastAsia"/>
          <w:sz w:val="24"/>
          <w:szCs w:val="24"/>
        </w:rPr>
        <w:t>（四）本协议一式六份，协议双方各持二份，上报监管机构二份，每份具有同等的法律效力。</w:t>
      </w:r>
    </w:p>
    <w:p w:rsidR="00B333BC" w:rsidRPr="00372638" w:rsidRDefault="00B333BC" w:rsidP="00372638">
      <w:pPr>
        <w:adjustRightInd w:val="0"/>
        <w:snapToGrid w:val="0"/>
        <w:spacing w:line="360" w:lineRule="auto"/>
        <w:rPr>
          <w:rFonts w:asciiTheme="minorEastAsia" w:hAnsiTheme="minorEastAsia" w:cs="Arial"/>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98" w:name="_Toc124325904"/>
      <w:r w:rsidRPr="00372638">
        <w:rPr>
          <w:rFonts w:asciiTheme="minorEastAsia" w:hAnsiTheme="minorEastAsia" w:cs="Times New Roman" w:hint="eastAsia"/>
          <w:b/>
          <w:sz w:val="24"/>
          <w:szCs w:val="24"/>
        </w:rPr>
        <w:t>二十、其他事项</w:t>
      </w:r>
      <w:bookmarkEnd w:id="98"/>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如发生有权司法机关依法冻结基金份额持有人的基金份额时，基金管理人应予以配合，承担司法协助义务。</w:t>
      </w:r>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除本协议有明确定义外，本协议的用语定义适用《基金合同》的约定。本协议未尽事宜，当事人依据《基金合同》、有关法律法规等规定协商办理。</w:t>
      </w:r>
    </w:p>
    <w:p w:rsidR="00B333BC" w:rsidRPr="00372638" w:rsidRDefault="00B333BC" w:rsidP="00372638">
      <w:pPr>
        <w:adjustRightInd w:val="0"/>
        <w:snapToGrid w:val="0"/>
        <w:spacing w:line="360" w:lineRule="auto"/>
        <w:rPr>
          <w:rFonts w:asciiTheme="minorEastAsia" w:hAnsiTheme="minorEastAsia" w:cs="Times New Roman"/>
          <w:b/>
          <w:bCs/>
          <w:sz w:val="24"/>
          <w:szCs w:val="24"/>
        </w:rPr>
      </w:pPr>
    </w:p>
    <w:p w:rsidR="00B333BC" w:rsidRPr="00372638" w:rsidRDefault="00B333BC" w:rsidP="00372638">
      <w:pPr>
        <w:keepNext/>
        <w:keepLines/>
        <w:spacing w:before="260" w:after="260" w:line="360" w:lineRule="auto"/>
        <w:jc w:val="center"/>
        <w:outlineLvl w:val="1"/>
        <w:rPr>
          <w:rFonts w:asciiTheme="minorEastAsia" w:hAnsiTheme="minorEastAsia" w:cs="Times New Roman"/>
          <w:b/>
          <w:sz w:val="24"/>
          <w:szCs w:val="24"/>
        </w:rPr>
      </w:pPr>
      <w:bookmarkStart w:id="99" w:name="_Toc124325905"/>
      <w:r w:rsidRPr="00372638">
        <w:rPr>
          <w:rFonts w:asciiTheme="minorEastAsia" w:hAnsiTheme="minorEastAsia" w:cs="Times New Roman" w:hint="eastAsia"/>
          <w:b/>
          <w:sz w:val="24"/>
          <w:szCs w:val="24"/>
        </w:rPr>
        <w:t>二十一、托管协议的签订</w:t>
      </w:r>
      <w:bookmarkEnd w:id="99"/>
    </w:p>
    <w:p w:rsidR="00B333BC" w:rsidRPr="00372638" w:rsidRDefault="00B333BC" w:rsidP="00372638">
      <w:pPr>
        <w:adjustRightInd w:val="0"/>
        <w:snapToGrid w:val="0"/>
        <w:spacing w:line="360" w:lineRule="auto"/>
        <w:ind w:firstLineChars="200" w:firstLine="480"/>
        <w:rPr>
          <w:rFonts w:asciiTheme="minorEastAsia" w:hAnsiTheme="minorEastAsia" w:cs="Arial"/>
          <w:sz w:val="24"/>
          <w:szCs w:val="24"/>
        </w:rPr>
      </w:pPr>
      <w:r w:rsidRPr="00372638">
        <w:rPr>
          <w:rFonts w:asciiTheme="minorEastAsia" w:hAnsiTheme="minorEastAsia" w:cs="Arial" w:hint="eastAsia"/>
          <w:sz w:val="24"/>
          <w:szCs w:val="24"/>
        </w:rPr>
        <w:t>本协议双方法定代表人或授权代表签章、签订地、签订日</w:t>
      </w:r>
    </w:p>
    <w:p w:rsidR="001E249D" w:rsidRPr="00372638" w:rsidRDefault="001E249D" w:rsidP="00372638">
      <w:pPr>
        <w:spacing w:line="360" w:lineRule="auto"/>
        <w:ind w:right="26"/>
        <w:rPr>
          <w:rFonts w:asciiTheme="minorEastAsia" w:hAnsiTheme="minorEastAsia"/>
        </w:rPr>
      </w:pPr>
    </w:p>
    <w:sectPr w:rsidR="001E249D" w:rsidRPr="00372638" w:rsidSect="00C71947">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AF0" w:rsidRDefault="00DB2AF0" w:rsidP="000E57F3">
      <w:r>
        <w:separator/>
      </w:r>
    </w:p>
  </w:endnote>
  <w:endnote w:type="continuationSeparator" w:id="0">
    <w:p w:rsidR="00DB2AF0" w:rsidRDefault="00DB2AF0" w:rsidP="000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947" w:rsidRDefault="00C719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71947" w:rsidRDefault="00C7194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350977"/>
      <w:docPartObj>
        <w:docPartGallery w:val="Page Numbers (Bottom of Page)"/>
        <w:docPartUnique/>
      </w:docPartObj>
    </w:sdtPr>
    <w:sdtContent>
      <w:p w:rsidR="00372638" w:rsidRDefault="00372638">
        <w:pPr>
          <w:pStyle w:val="a5"/>
          <w:jc w:val="center"/>
        </w:pPr>
        <w:r>
          <w:fldChar w:fldCharType="begin"/>
        </w:r>
        <w:r>
          <w:instrText>PAGE   \* MERGEFORMAT</w:instrText>
        </w:r>
        <w:r>
          <w:fldChar w:fldCharType="separate"/>
        </w:r>
        <w:r w:rsidRPr="00372638">
          <w:rPr>
            <w:noProof/>
            <w:lang w:val="zh-CN"/>
          </w:rPr>
          <w:t>3</w:t>
        </w:r>
        <w:r>
          <w:fldChar w:fldCharType="end"/>
        </w:r>
      </w:p>
    </w:sdtContent>
  </w:sdt>
  <w:p w:rsidR="00C71947" w:rsidRDefault="00C719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AF0" w:rsidRDefault="00DB2AF0" w:rsidP="000E57F3">
      <w:r>
        <w:separator/>
      </w:r>
    </w:p>
  </w:footnote>
  <w:footnote w:type="continuationSeparator" w:id="0">
    <w:p w:rsidR="00DB2AF0" w:rsidRDefault="00DB2AF0" w:rsidP="000E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947" w:rsidRDefault="00372638">
    <w:pPr>
      <w:pStyle w:val="a4"/>
      <w:rPr>
        <w:rFonts w:hint="eastAsia"/>
      </w:rPr>
    </w:pPr>
    <w:proofErr w:type="gramStart"/>
    <w:r w:rsidRPr="00372638">
      <w:rPr>
        <w:rFonts w:hint="eastAsia"/>
      </w:rPr>
      <w:t>汇添富</w:t>
    </w:r>
    <w:proofErr w:type="gramEnd"/>
    <w:r w:rsidRPr="00372638">
      <w:rPr>
        <w:rFonts w:hint="eastAsia"/>
      </w:rPr>
      <w:t>养老目标日期</w:t>
    </w:r>
    <w:r w:rsidRPr="00372638">
      <w:rPr>
        <w:rFonts w:hint="eastAsia"/>
      </w:rPr>
      <w:t>2030</w:t>
    </w:r>
    <w:r w:rsidRPr="00372638">
      <w:rPr>
        <w:rFonts w:hint="eastAsia"/>
      </w:rPr>
      <w:t>三年持有期混合型基金中基金（</w:t>
    </w:r>
    <w:r w:rsidRPr="00372638">
      <w:rPr>
        <w:rFonts w:hint="eastAsia"/>
      </w:rPr>
      <w:t>FOF</w:t>
    </w:r>
    <w:r w:rsidRPr="00372638">
      <w:rPr>
        <w:rFonts w:hint="eastAsia"/>
      </w:rPr>
      <w:t>）</w:t>
    </w:r>
    <w:r>
      <w:rPr>
        <w:rFonts w:hint="eastAsia"/>
      </w:rPr>
      <w:t xml:space="preserve">        </w:t>
    </w:r>
    <w: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3BC"/>
    <w:rsid w:val="0004171B"/>
    <w:rsid w:val="000419BE"/>
    <w:rsid w:val="000A0DAF"/>
    <w:rsid w:val="000E57F3"/>
    <w:rsid w:val="00137333"/>
    <w:rsid w:val="001C1E6B"/>
    <w:rsid w:val="001E249D"/>
    <w:rsid w:val="00216FA1"/>
    <w:rsid w:val="002B5696"/>
    <w:rsid w:val="002E06F1"/>
    <w:rsid w:val="00357188"/>
    <w:rsid w:val="00372638"/>
    <w:rsid w:val="003A544A"/>
    <w:rsid w:val="003B4E64"/>
    <w:rsid w:val="003E3AB3"/>
    <w:rsid w:val="0049002D"/>
    <w:rsid w:val="004B062C"/>
    <w:rsid w:val="006A1C9D"/>
    <w:rsid w:val="0072065A"/>
    <w:rsid w:val="008E00D0"/>
    <w:rsid w:val="009D21B7"/>
    <w:rsid w:val="00A01A36"/>
    <w:rsid w:val="00A57233"/>
    <w:rsid w:val="00AF58DF"/>
    <w:rsid w:val="00B333BC"/>
    <w:rsid w:val="00B43B3E"/>
    <w:rsid w:val="00C254C3"/>
    <w:rsid w:val="00C71947"/>
    <w:rsid w:val="00C81E02"/>
    <w:rsid w:val="00CB032A"/>
    <w:rsid w:val="00CC0C74"/>
    <w:rsid w:val="00CC201B"/>
    <w:rsid w:val="00CD3688"/>
    <w:rsid w:val="00D70525"/>
    <w:rsid w:val="00D7600E"/>
    <w:rsid w:val="00DB2AF0"/>
    <w:rsid w:val="00E6525A"/>
    <w:rsid w:val="00F50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7BF0C300-3CC8-4E83-93A2-DB160C62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
    <w:qFormat/>
    <w:rsid w:val="00B333BC"/>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333BC"/>
    <w:rPr>
      <w:rFonts w:ascii="Arial" w:eastAsia="黑体" w:hAnsi="Arial" w:cs="Times New Roman"/>
      <w:b/>
      <w:sz w:val="32"/>
      <w:szCs w:val="20"/>
    </w:rPr>
  </w:style>
  <w:style w:type="numbering" w:customStyle="1" w:styleId="1">
    <w:name w:val="无列表1"/>
    <w:next w:val="a3"/>
    <w:uiPriority w:val="99"/>
    <w:semiHidden/>
    <w:unhideWhenUsed/>
    <w:rsid w:val="00B333BC"/>
  </w:style>
  <w:style w:type="paragraph" w:styleId="a4">
    <w:name w:val="header"/>
    <w:basedOn w:val="a"/>
    <w:link w:val="Char"/>
    <w:unhideWhenUsed/>
    <w:rsid w:val="00B333B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B333BC"/>
    <w:rPr>
      <w:rFonts w:ascii="Times New Roman" w:eastAsia="宋体" w:hAnsi="Times New Roman" w:cs="Times New Roman"/>
      <w:sz w:val="18"/>
      <w:szCs w:val="18"/>
    </w:rPr>
  </w:style>
  <w:style w:type="paragraph" w:styleId="a5">
    <w:name w:val="footer"/>
    <w:basedOn w:val="a"/>
    <w:link w:val="Char0"/>
    <w:uiPriority w:val="99"/>
    <w:unhideWhenUsed/>
    <w:rsid w:val="00B333B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B333BC"/>
    <w:rPr>
      <w:rFonts w:ascii="Times New Roman" w:eastAsia="宋体" w:hAnsi="Times New Roman" w:cs="Times New Roman"/>
      <w:sz w:val="18"/>
      <w:szCs w:val="18"/>
    </w:rPr>
  </w:style>
  <w:style w:type="character" w:styleId="a6">
    <w:name w:val="page number"/>
    <w:basedOn w:val="a1"/>
    <w:rsid w:val="00B333BC"/>
  </w:style>
  <w:style w:type="paragraph" w:styleId="a7">
    <w:name w:val="Normal (Web)"/>
    <w:basedOn w:val="a"/>
    <w:rsid w:val="00B333B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B333BC"/>
    <w:rPr>
      <w:b/>
      <w:bCs/>
    </w:rPr>
  </w:style>
  <w:style w:type="character" w:styleId="a9">
    <w:name w:val="Hyperlink"/>
    <w:rsid w:val="00B333BC"/>
    <w:rPr>
      <w:color w:val="0000FF"/>
      <w:u w:val="single"/>
    </w:rPr>
  </w:style>
  <w:style w:type="paragraph" w:customStyle="1" w:styleId="wz1">
    <w:name w:val="wz1"/>
    <w:basedOn w:val="a"/>
    <w:rsid w:val="00B333B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B333BC"/>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B333BC"/>
    <w:rPr>
      <w:rFonts w:ascii="仿宋_GB2312" w:eastAsia="仿宋_GB2312" w:hAnsi="Times New Roman" w:cs="Times New Roman"/>
      <w:color w:val="000000"/>
      <w:kern w:val="0"/>
      <w:sz w:val="24"/>
      <w:szCs w:val="28"/>
    </w:rPr>
  </w:style>
  <w:style w:type="character" w:customStyle="1" w:styleId="read">
    <w:name w:val="read"/>
    <w:basedOn w:val="a1"/>
    <w:rsid w:val="00B333BC"/>
  </w:style>
  <w:style w:type="paragraph" w:styleId="a0">
    <w:name w:val="Normal Indent"/>
    <w:basedOn w:val="a"/>
    <w:rsid w:val="00B333BC"/>
    <w:pPr>
      <w:ind w:firstLineChars="200" w:firstLine="420"/>
    </w:pPr>
    <w:rPr>
      <w:rFonts w:ascii="Times New Roman" w:eastAsia="宋体" w:hAnsi="Times New Roman" w:cs="Times New Roman"/>
      <w:szCs w:val="24"/>
    </w:rPr>
  </w:style>
  <w:style w:type="paragraph" w:styleId="ab">
    <w:name w:val="Body Text Indent"/>
    <w:basedOn w:val="a"/>
    <w:link w:val="Char2"/>
    <w:rsid w:val="00B333BC"/>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B333BC"/>
    <w:rPr>
      <w:rFonts w:ascii="Times New Roman" w:eastAsia="方正仿宋简体" w:hAnsi="Times New Roman" w:cs="Times New Roman"/>
      <w:sz w:val="24"/>
      <w:szCs w:val="30"/>
    </w:rPr>
  </w:style>
  <w:style w:type="paragraph" w:styleId="20">
    <w:name w:val="Body Text Indent 2"/>
    <w:basedOn w:val="a"/>
    <w:link w:val="2Char0"/>
    <w:rsid w:val="00B333BC"/>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B333BC"/>
    <w:rPr>
      <w:rFonts w:ascii="宋体" w:eastAsia="宋体" w:hAnsi="宋体" w:cs="Times New Roman"/>
      <w:sz w:val="28"/>
      <w:szCs w:val="20"/>
    </w:rPr>
  </w:style>
  <w:style w:type="paragraph" w:styleId="3">
    <w:name w:val="Body Text Indent 3"/>
    <w:basedOn w:val="a"/>
    <w:link w:val="3Char"/>
    <w:rsid w:val="00B333BC"/>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B333BC"/>
    <w:rPr>
      <w:rFonts w:ascii="仿宋_GB2312" w:eastAsia="仿宋_GB2312" w:hAnsi="宋体" w:cs="Arial"/>
      <w:color w:val="000000"/>
      <w:sz w:val="24"/>
      <w:szCs w:val="24"/>
    </w:rPr>
  </w:style>
  <w:style w:type="paragraph" w:styleId="10">
    <w:name w:val="toc 1"/>
    <w:basedOn w:val="a"/>
    <w:next w:val="a"/>
    <w:autoRedefine/>
    <w:semiHidden/>
    <w:rsid w:val="00B333BC"/>
    <w:rPr>
      <w:rFonts w:ascii="Times New Roman" w:eastAsia="宋体" w:hAnsi="Times New Roman" w:cs="Times New Roman"/>
      <w:szCs w:val="24"/>
    </w:rPr>
  </w:style>
  <w:style w:type="paragraph" w:styleId="21">
    <w:name w:val="toc 2"/>
    <w:basedOn w:val="a"/>
    <w:next w:val="a"/>
    <w:autoRedefine/>
    <w:semiHidden/>
    <w:rsid w:val="00B333BC"/>
    <w:pPr>
      <w:ind w:leftChars="200" w:left="420"/>
    </w:pPr>
    <w:rPr>
      <w:rFonts w:ascii="Times New Roman" w:eastAsia="宋体" w:hAnsi="Times New Roman" w:cs="Times New Roman"/>
      <w:szCs w:val="24"/>
    </w:rPr>
  </w:style>
  <w:style w:type="paragraph" w:styleId="30">
    <w:name w:val="toc 3"/>
    <w:basedOn w:val="a"/>
    <w:next w:val="a"/>
    <w:autoRedefine/>
    <w:semiHidden/>
    <w:rsid w:val="00B333BC"/>
    <w:pPr>
      <w:ind w:leftChars="400" w:left="840"/>
    </w:pPr>
    <w:rPr>
      <w:rFonts w:ascii="Times New Roman" w:eastAsia="宋体" w:hAnsi="Times New Roman" w:cs="Times New Roman"/>
      <w:szCs w:val="24"/>
    </w:rPr>
  </w:style>
  <w:style w:type="paragraph" w:styleId="4">
    <w:name w:val="toc 4"/>
    <w:basedOn w:val="a"/>
    <w:next w:val="a"/>
    <w:autoRedefine/>
    <w:semiHidden/>
    <w:rsid w:val="00B333BC"/>
    <w:pPr>
      <w:ind w:leftChars="600" w:left="1260"/>
    </w:pPr>
    <w:rPr>
      <w:rFonts w:ascii="Times New Roman" w:eastAsia="宋体" w:hAnsi="Times New Roman" w:cs="Times New Roman"/>
      <w:szCs w:val="24"/>
    </w:rPr>
  </w:style>
  <w:style w:type="paragraph" w:styleId="5">
    <w:name w:val="toc 5"/>
    <w:basedOn w:val="a"/>
    <w:next w:val="a"/>
    <w:autoRedefine/>
    <w:semiHidden/>
    <w:rsid w:val="00B333BC"/>
    <w:pPr>
      <w:ind w:leftChars="800" w:left="1680"/>
    </w:pPr>
    <w:rPr>
      <w:rFonts w:ascii="Times New Roman" w:eastAsia="宋体" w:hAnsi="Times New Roman" w:cs="Times New Roman"/>
      <w:szCs w:val="24"/>
    </w:rPr>
  </w:style>
  <w:style w:type="paragraph" w:styleId="6">
    <w:name w:val="toc 6"/>
    <w:basedOn w:val="a"/>
    <w:next w:val="a"/>
    <w:autoRedefine/>
    <w:semiHidden/>
    <w:rsid w:val="00B333BC"/>
    <w:pPr>
      <w:ind w:leftChars="1000" w:left="2100"/>
    </w:pPr>
    <w:rPr>
      <w:rFonts w:ascii="Times New Roman" w:eastAsia="宋体" w:hAnsi="Times New Roman" w:cs="Times New Roman"/>
      <w:szCs w:val="24"/>
    </w:rPr>
  </w:style>
  <w:style w:type="paragraph" w:styleId="7">
    <w:name w:val="toc 7"/>
    <w:basedOn w:val="a"/>
    <w:next w:val="a"/>
    <w:autoRedefine/>
    <w:semiHidden/>
    <w:rsid w:val="00B333BC"/>
    <w:pPr>
      <w:ind w:leftChars="1200" w:left="2520"/>
    </w:pPr>
    <w:rPr>
      <w:rFonts w:ascii="Times New Roman" w:eastAsia="宋体" w:hAnsi="Times New Roman" w:cs="Times New Roman"/>
      <w:szCs w:val="24"/>
    </w:rPr>
  </w:style>
  <w:style w:type="paragraph" w:styleId="8">
    <w:name w:val="toc 8"/>
    <w:basedOn w:val="a"/>
    <w:next w:val="a"/>
    <w:autoRedefine/>
    <w:semiHidden/>
    <w:rsid w:val="00B333BC"/>
    <w:pPr>
      <w:ind w:leftChars="1400" w:left="2940"/>
    </w:pPr>
    <w:rPr>
      <w:rFonts w:ascii="Times New Roman" w:eastAsia="宋体" w:hAnsi="Times New Roman" w:cs="Times New Roman"/>
      <w:szCs w:val="24"/>
    </w:rPr>
  </w:style>
  <w:style w:type="paragraph" w:styleId="9">
    <w:name w:val="toc 9"/>
    <w:basedOn w:val="a"/>
    <w:next w:val="a"/>
    <w:autoRedefine/>
    <w:semiHidden/>
    <w:rsid w:val="00B333BC"/>
    <w:pPr>
      <w:ind w:leftChars="1600" w:left="3360"/>
    </w:pPr>
    <w:rPr>
      <w:rFonts w:ascii="Times New Roman" w:eastAsia="宋体" w:hAnsi="Times New Roman" w:cs="Times New Roman"/>
      <w:szCs w:val="24"/>
    </w:rPr>
  </w:style>
  <w:style w:type="paragraph" w:styleId="ac">
    <w:name w:val="Balloon Text"/>
    <w:basedOn w:val="a"/>
    <w:link w:val="Char3"/>
    <w:semiHidden/>
    <w:rsid w:val="00B333BC"/>
    <w:rPr>
      <w:rFonts w:ascii="Times New Roman" w:eastAsia="宋体" w:hAnsi="Times New Roman" w:cs="Times New Roman"/>
      <w:sz w:val="18"/>
      <w:szCs w:val="18"/>
    </w:rPr>
  </w:style>
  <w:style w:type="character" w:customStyle="1" w:styleId="Char3">
    <w:name w:val="批注框文本 Char"/>
    <w:basedOn w:val="a1"/>
    <w:link w:val="ac"/>
    <w:semiHidden/>
    <w:rsid w:val="00B333BC"/>
    <w:rPr>
      <w:rFonts w:ascii="Times New Roman" w:eastAsia="宋体" w:hAnsi="Times New Roman" w:cs="Times New Roman"/>
      <w:sz w:val="18"/>
      <w:szCs w:val="18"/>
    </w:rPr>
  </w:style>
  <w:style w:type="paragraph" w:customStyle="1" w:styleId="Char4">
    <w:name w:val="Char"/>
    <w:basedOn w:val="a"/>
    <w:rsid w:val="00B333BC"/>
    <w:rPr>
      <w:rFonts w:ascii="Times New Roman" w:eastAsia="宋体" w:hAnsi="Times New Roman" w:cs="Times New Roman"/>
      <w:szCs w:val="24"/>
    </w:rPr>
  </w:style>
  <w:style w:type="paragraph" w:customStyle="1" w:styleId="Char10">
    <w:name w:val="Char1"/>
    <w:basedOn w:val="a"/>
    <w:autoRedefine/>
    <w:rsid w:val="00B333BC"/>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B333BC"/>
    <w:rPr>
      <w:rFonts w:ascii="Times New Roman" w:eastAsia="宋体" w:hAnsi="Times New Roman" w:cs="Times New Roman"/>
      <w:szCs w:val="24"/>
    </w:rPr>
  </w:style>
  <w:style w:type="character" w:styleId="ad">
    <w:name w:val="annotation reference"/>
    <w:semiHidden/>
    <w:rsid w:val="00B333BC"/>
    <w:rPr>
      <w:sz w:val="21"/>
      <w:szCs w:val="21"/>
    </w:rPr>
  </w:style>
  <w:style w:type="paragraph" w:styleId="ae">
    <w:name w:val="annotation text"/>
    <w:basedOn w:val="a"/>
    <w:link w:val="Char5"/>
    <w:semiHidden/>
    <w:rsid w:val="00B333BC"/>
    <w:pPr>
      <w:jc w:val="left"/>
    </w:pPr>
    <w:rPr>
      <w:rFonts w:ascii="Times New Roman" w:eastAsia="宋体" w:hAnsi="Times New Roman" w:cs="Times New Roman"/>
      <w:szCs w:val="24"/>
    </w:rPr>
  </w:style>
  <w:style w:type="character" w:customStyle="1" w:styleId="Char5">
    <w:name w:val="批注文字 Char"/>
    <w:basedOn w:val="a1"/>
    <w:link w:val="ae"/>
    <w:semiHidden/>
    <w:rsid w:val="00B333BC"/>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333BC"/>
    <w:rPr>
      <w:rFonts w:ascii="Times New Roman" w:eastAsia="宋体" w:hAnsi="Times New Roman" w:cs="Times New Roman"/>
      <w:szCs w:val="24"/>
    </w:rPr>
  </w:style>
  <w:style w:type="paragraph" w:customStyle="1" w:styleId="CharChar">
    <w:name w:val="Char Char"/>
    <w:basedOn w:val="a"/>
    <w:rsid w:val="00B333BC"/>
    <w:rPr>
      <w:rFonts w:ascii="Times New Roman" w:eastAsia="宋体" w:hAnsi="Times New Roman" w:cs="Times New Roman"/>
      <w:szCs w:val="20"/>
    </w:rPr>
  </w:style>
  <w:style w:type="paragraph" w:styleId="HTML">
    <w:name w:val="HTML Preformatted"/>
    <w:basedOn w:val="a"/>
    <w:link w:val="HTMLChar"/>
    <w:uiPriority w:val="99"/>
    <w:unhideWhenUsed/>
    <w:rsid w:val="00B33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B333BC"/>
    <w:rPr>
      <w:rFonts w:ascii="宋体" w:eastAsia="宋体" w:hAnsi="宋体" w:cs="宋体"/>
      <w:kern w:val="0"/>
      <w:sz w:val="24"/>
      <w:szCs w:val="24"/>
    </w:rPr>
  </w:style>
  <w:style w:type="paragraph" w:styleId="af">
    <w:name w:val="annotation subject"/>
    <w:basedOn w:val="ae"/>
    <w:next w:val="ae"/>
    <w:link w:val="Char6"/>
    <w:rsid w:val="00B333BC"/>
    <w:rPr>
      <w:b/>
      <w:bCs/>
    </w:rPr>
  </w:style>
  <w:style w:type="character" w:customStyle="1" w:styleId="Char6">
    <w:name w:val="批注主题 Char"/>
    <w:basedOn w:val="Char5"/>
    <w:link w:val="af"/>
    <w:rsid w:val="00B333BC"/>
    <w:rPr>
      <w:rFonts w:ascii="Times New Roman" w:eastAsia="宋体" w:hAnsi="Times New Roman" w:cs="Times New Roman"/>
      <w:b/>
      <w:bCs/>
      <w:szCs w:val="24"/>
    </w:rPr>
  </w:style>
  <w:style w:type="paragraph" w:customStyle="1" w:styleId="af0">
    <w:uiPriority w:val="99"/>
    <w:unhideWhenUsed/>
    <w:rsid w:val="00B333BC"/>
    <w:pPr>
      <w:widowControl w:val="0"/>
      <w:jc w:val="both"/>
    </w:pPr>
  </w:style>
  <w:style w:type="paragraph" w:styleId="af1">
    <w:name w:val="Revision"/>
    <w:hidden/>
    <w:uiPriority w:val="99"/>
    <w:semiHidden/>
    <w:rsid w:val="00B333BC"/>
    <w:rPr>
      <w:rFonts w:ascii="Times New Roman" w:eastAsia="宋体" w:hAnsi="Times New Roman" w:cs="Times New Roman"/>
      <w:szCs w:val="24"/>
    </w:rPr>
  </w:style>
  <w:style w:type="character" w:styleId="af2">
    <w:name w:val="FollowedHyperlink"/>
    <w:basedOn w:val="a1"/>
    <w:uiPriority w:val="99"/>
    <w:semiHidden/>
    <w:unhideWhenUsed/>
    <w:rsid w:val="00B333BC"/>
    <w:rPr>
      <w:color w:val="800080" w:themeColor="followedHyperlink"/>
      <w:u w:val="single"/>
    </w:rPr>
  </w:style>
  <w:style w:type="paragraph" w:styleId="af3">
    <w:name w:val="List Paragraph"/>
    <w:basedOn w:val="a"/>
    <w:uiPriority w:val="34"/>
    <w:qFormat/>
    <w:rsid w:val="00CD36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AA98-00F9-4DA3-ABC5-70FBD689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5289</Words>
  <Characters>30150</Characters>
  <Application>Microsoft Office Word</Application>
  <DocSecurity>0</DocSecurity>
  <Lines>251</Lines>
  <Paragraphs>70</Paragraphs>
  <ScaleCrop>false</ScaleCrop>
  <Company/>
  <LinksUpToDate>false</LinksUpToDate>
  <CharactersWithSpaces>35369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郭婉婷20180308</dc:creator>
  <cp:lastModifiedBy>郭婉婷20181120</cp:lastModifiedBy>
  <cp:revision>6</cp:revision>
  <cp:lastPrinted>2018-09-26T06:19:00Z</cp:lastPrinted>
  <dcterms:created xsi:type="dcterms:W3CDTF">2018-09-20T06:33:00Z</dcterms:created>
  <dcterms:modified xsi:type="dcterms:W3CDTF">2018-12-04T09:32:00Z</dcterms:modified>
</cp:coreProperties>
</file>