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10476F">
      <w:pPr>
        <w:adjustRightInd w:val="0"/>
        <w:snapToGrid w:val="0"/>
        <w:jc w:val="center"/>
        <w:rPr>
          <w:rFonts w:ascii="彩虹粗仿宋" w:eastAsia="彩虹粗仿宋" w:hAnsi="宋体" w:cs="Arial"/>
          <w:sz w:val="24"/>
        </w:rPr>
      </w:pPr>
    </w:p>
    <w:p w:rsidR="0010476F" w:rsidRDefault="00BA69DA">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华泰柏瑞MSCI中国A股国际通交易型开放式指数证券投资基金联接基金</w:t>
      </w:r>
    </w:p>
    <w:p w:rsidR="0010476F" w:rsidRDefault="00BA69DA">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托管协议(草案)</w:t>
      </w: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BA69D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基金管理人：华泰柏瑞基金管理有限公司</w:t>
      </w:r>
    </w:p>
    <w:p w:rsidR="0010476F" w:rsidRDefault="00BA69D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10476F">
      <w:pPr>
        <w:adjustRightInd w:val="0"/>
        <w:snapToGrid w:val="0"/>
        <w:jc w:val="center"/>
        <w:outlineLvl w:val="0"/>
        <w:rPr>
          <w:rFonts w:ascii="彩虹粗仿宋" w:eastAsia="彩虹粗仿宋" w:hAnsi="宋体" w:cs="Arial"/>
          <w:sz w:val="24"/>
        </w:rPr>
      </w:pPr>
    </w:p>
    <w:p w:rsidR="0010476F" w:rsidRDefault="00BA69DA">
      <w:pPr>
        <w:adjustRightInd w:val="0"/>
        <w:snapToGrid w:val="0"/>
        <w:rPr>
          <w:rFonts w:ascii="彩虹粗仿宋" w:eastAsia="彩虹粗仿宋" w:hAnsi="宋体" w:cs="Arial"/>
          <w:bCs/>
          <w:sz w:val="24"/>
        </w:rPr>
      </w:pPr>
      <w:r>
        <w:rPr>
          <w:rFonts w:ascii="彩虹粗仿宋" w:eastAsia="彩虹粗仿宋" w:hAnsi="宋体" w:cs="Arial" w:hint="eastAsia"/>
          <w:sz w:val="24"/>
        </w:rPr>
        <w:t xml:space="preserve">                         </w:t>
      </w:r>
    </w:p>
    <w:p w:rsidR="0010476F" w:rsidRDefault="00BA69DA">
      <w:pPr>
        <w:jc w:val="center"/>
        <w:rPr>
          <w:rFonts w:ascii="彩虹粗仿宋" w:eastAsia="彩虹粗仿宋"/>
          <w:b/>
          <w:bCs/>
          <w:sz w:val="30"/>
        </w:rPr>
      </w:pPr>
      <w:r>
        <w:rPr>
          <w:rFonts w:ascii="彩虹粗仿宋" w:eastAsia="彩虹粗仿宋" w:hint="eastAsia"/>
          <w:b/>
          <w:bCs/>
          <w:sz w:val="30"/>
        </w:rPr>
        <w:lastRenderedPageBreak/>
        <w:t>目    录</w:t>
      </w:r>
    </w:p>
    <w:p w:rsidR="0010476F" w:rsidRDefault="00830F2C">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sidR="00BA69DA">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sidR="00BA69DA">
          <w:rPr>
            <w:rStyle w:val="af"/>
            <w:rFonts w:ascii="彩虹粗仿宋" w:eastAsia="彩虹粗仿宋" w:hAnsi="宋体" w:hint="eastAsia"/>
            <w:noProof/>
            <w:sz w:val="28"/>
            <w:szCs w:val="32"/>
          </w:rPr>
          <w:t>一、基金托管协议当事人</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86" w:history="1">
        <w:r w:rsidR="00BA69DA">
          <w:rPr>
            <w:rStyle w:val="af"/>
            <w:rFonts w:ascii="彩虹粗仿宋" w:eastAsia="彩虹粗仿宋" w:hAnsi="宋体" w:hint="eastAsia"/>
            <w:noProof/>
            <w:sz w:val="28"/>
            <w:szCs w:val="32"/>
          </w:rPr>
          <w:t>二、基金托管协议的依据、目的和原则</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_Toc124325886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4</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87" w:history="1">
        <w:r w:rsidR="00BA69DA">
          <w:rPr>
            <w:rStyle w:val="af"/>
            <w:rFonts w:ascii="彩虹粗仿宋" w:eastAsia="彩虹粗仿宋" w:hAnsi="宋体" w:hint="eastAsia"/>
            <w:noProof/>
            <w:sz w:val="28"/>
            <w:szCs w:val="32"/>
          </w:rPr>
          <w:t>三、基金托管人对基金管理人的业务监督和核查</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_Toc124325887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5</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88" w:history="1">
        <w:r w:rsidR="00BA69DA">
          <w:rPr>
            <w:rStyle w:val="af"/>
            <w:rFonts w:ascii="彩虹粗仿宋" w:eastAsia="彩虹粗仿宋" w:hAnsi="宋体" w:hint="eastAsia"/>
            <w:noProof/>
            <w:sz w:val="28"/>
            <w:szCs w:val="32"/>
          </w:rPr>
          <w:t>四、基金管理人对基金托管人的业务核查</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_Toc124325888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10</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89" w:history="1">
        <w:r w:rsidR="00BA69DA">
          <w:rPr>
            <w:rStyle w:val="af"/>
            <w:rFonts w:ascii="彩虹粗仿宋" w:eastAsia="彩虹粗仿宋" w:hAnsi="宋体" w:hint="eastAsia"/>
            <w:noProof/>
            <w:sz w:val="28"/>
            <w:szCs w:val="32"/>
          </w:rPr>
          <w:t>五、基金财产的保管</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_Toc124325889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11</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0" w:history="1">
        <w:r w:rsidR="00BA69DA">
          <w:rPr>
            <w:rStyle w:val="af"/>
            <w:rFonts w:ascii="彩虹粗仿宋" w:eastAsia="彩虹粗仿宋" w:hAnsi="宋体" w:hint="eastAsia"/>
            <w:noProof/>
            <w:sz w:val="28"/>
            <w:szCs w:val="32"/>
          </w:rPr>
          <w:t>六、指令的发送、确认及执行</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14</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1" w:history="1">
        <w:r w:rsidR="00BA69DA">
          <w:rPr>
            <w:rStyle w:val="af"/>
            <w:rFonts w:ascii="彩虹粗仿宋" w:eastAsia="彩虹粗仿宋" w:hAnsi="宋体" w:hint="eastAsia"/>
            <w:noProof/>
            <w:sz w:val="28"/>
            <w:szCs w:val="32"/>
          </w:rPr>
          <w:t>七、交易及清算</w:t>
        </w:r>
        <w:bookmarkStart w:id="0" w:name="_Hlt501464222"/>
        <w:r w:rsidR="00BA69DA">
          <w:rPr>
            <w:rStyle w:val="af"/>
            <w:rFonts w:ascii="彩虹粗仿宋" w:eastAsia="彩虹粗仿宋" w:hAnsi="宋体" w:hint="eastAsia"/>
            <w:noProof/>
            <w:sz w:val="28"/>
            <w:szCs w:val="32"/>
          </w:rPr>
          <w:t>交</w:t>
        </w:r>
        <w:bookmarkEnd w:id="0"/>
        <w:r w:rsidR="00BA69DA">
          <w:rPr>
            <w:rStyle w:val="af"/>
            <w:rFonts w:ascii="彩虹粗仿宋" w:eastAsia="彩虹粗仿宋" w:hAnsi="宋体" w:hint="eastAsia"/>
            <w:noProof/>
            <w:sz w:val="28"/>
            <w:szCs w:val="32"/>
          </w:rPr>
          <w:t>收安</w:t>
        </w:r>
        <w:bookmarkStart w:id="1" w:name="_Hlt419449173"/>
        <w:r w:rsidR="00BA69DA">
          <w:rPr>
            <w:rStyle w:val="af"/>
            <w:rFonts w:ascii="彩虹粗仿宋" w:eastAsia="彩虹粗仿宋" w:hAnsi="宋体" w:hint="eastAsia"/>
            <w:noProof/>
            <w:sz w:val="28"/>
            <w:szCs w:val="32"/>
          </w:rPr>
          <w:t>排</w:t>
        </w:r>
        <w:bookmarkEnd w:id="1"/>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16</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2" w:history="1">
        <w:r w:rsidR="00BA69DA">
          <w:rPr>
            <w:rStyle w:val="af"/>
            <w:rFonts w:ascii="彩虹粗仿宋" w:eastAsia="彩虹粗仿宋" w:hAnsi="宋体" w:hint="eastAsia"/>
            <w:noProof/>
            <w:sz w:val="28"/>
            <w:szCs w:val="32"/>
          </w:rPr>
          <w:t>八、基金资产净值</w:t>
        </w:r>
        <w:bookmarkStart w:id="2" w:name="_Hlt419449178"/>
        <w:r w:rsidR="00BA69DA">
          <w:rPr>
            <w:rStyle w:val="af"/>
            <w:rFonts w:ascii="彩虹粗仿宋" w:eastAsia="彩虹粗仿宋" w:hAnsi="宋体" w:hint="eastAsia"/>
            <w:noProof/>
            <w:sz w:val="28"/>
            <w:szCs w:val="32"/>
          </w:rPr>
          <w:t>计</w:t>
        </w:r>
        <w:bookmarkEnd w:id="2"/>
        <w:r w:rsidR="00BA69DA">
          <w:rPr>
            <w:rStyle w:val="af"/>
            <w:rFonts w:ascii="彩虹粗仿宋" w:eastAsia="彩虹粗仿宋" w:hAnsi="宋体" w:hint="eastAsia"/>
            <w:noProof/>
            <w:sz w:val="28"/>
            <w:szCs w:val="32"/>
          </w:rPr>
          <w:t>算和会计核算</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20</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3" w:history="1">
        <w:r w:rsidR="00BA69DA">
          <w:rPr>
            <w:rStyle w:val="af"/>
            <w:rFonts w:ascii="彩虹粗仿宋" w:eastAsia="彩虹粗仿宋" w:hAnsi="宋体" w:hint="eastAsia"/>
            <w:noProof/>
            <w:sz w:val="28"/>
            <w:szCs w:val="32"/>
          </w:rPr>
          <w:t>九、基金收益分配</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25</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4" w:history="1">
        <w:r w:rsidR="00BA69DA">
          <w:rPr>
            <w:rStyle w:val="af"/>
            <w:rFonts w:ascii="彩虹粗仿宋" w:eastAsia="彩虹粗仿宋" w:hAnsi="宋体" w:hint="eastAsia"/>
            <w:noProof/>
            <w:sz w:val="28"/>
            <w:szCs w:val="32"/>
          </w:rPr>
          <w:t>十、基金信息披露</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26</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5" w:history="1">
        <w:r w:rsidR="00BA69DA">
          <w:rPr>
            <w:rStyle w:val="af"/>
            <w:rFonts w:ascii="彩虹粗仿宋" w:eastAsia="彩虹粗仿宋" w:hAnsi="宋体" w:hint="eastAsia"/>
            <w:noProof/>
            <w:sz w:val="28"/>
            <w:szCs w:val="32"/>
          </w:rPr>
          <w:t>十一、基金费用</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27</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6" w:history="1">
        <w:r w:rsidR="00BA69DA">
          <w:rPr>
            <w:rStyle w:val="af"/>
            <w:rFonts w:ascii="彩虹粗仿宋" w:eastAsia="彩虹粗仿宋" w:hAnsi="宋体" w:hint="eastAsia"/>
            <w:noProof/>
            <w:sz w:val="28"/>
            <w:szCs w:val="32"/>
          </w:rPr>
          <w:t>十二、基金份额持有人名册的保管</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29</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7" w:history="1">
        <w:r w:rsidR="00BA69DA">
          <w:rPr>
            <w:rStyle w:val="af"/>
            <w:rFonts w:ascii="彩虹粗仿宋" w:eastAsia="彩虹粗仿宋" w:hAnsi="宋体" w:hint="eastAsia"/>
            <w:noProof/>
            <w:sz w:val="28"/>
            <w:szCs w:val="32"/>
          </w:rPr>
          <w:t>十三、基金有关文件档案的保存</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29</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8" w:history="1">
        <w:r w:rsidR="00BA69DA">
          <w:rPr>
            <w:rStyle w:val="af"/>
            <w:rFonts w:ascii="彩虹粗仿宋" w:eastAsia="彩虹粗仿宋" w:hAnsi="宋体" w:hint="eastAsia"/>
            <w:noProof/>
            <w:sz w:val="28"/>
            <w:szCs w:val="32"/>
          </w:rPr>
          <w:t>十四、基金</w:t>
        </w:r>
        <w:bookmarkStart w:id="3" w:name="_Hlt501463964"/>
        <w:bookmarkStart w:id="4" w:name="_Hlt501463965"/>
        <w:r w:rsidR="00BA69DA">
          <w:rPr>
            <w:rStyle w:val="af"/>
            <w:rFonts w:ascii="彩虹粗仿宋" w:eastAsia="彩虹粗仿宋" w:hAnsi="宋体" w:hint="eastAsia"/>
            <w:noProof/>
            <w:sz w:val="28"/>
            <w:szCs w:val="32"/>
          </w:rPr>
          <w:t>管</w:t>
        </w:r>
        <w:bookmarkEnd w:id="3"/>
        <w:bookmarkEnd w:id="4"/>
        <w:r w:rsidR="00BA69DA">
          <w:rPr>
            <w:rStyle w:val="af"/>
            <w:rFonts w:ascii="彩虹粗仿宋" w:eastAsia="彩虹粗仿宋" w:hAnsi="宋体" w:hint="eastAsia"/>
            <w:noProof/>
            <w:sz w:val="28"/>
            <w:szCs w:val="32"/>
          </w:rPr>
          <w:t>理人和基金托管人的更换</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30</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899" w:history="1">
        <w:r w:rsidR="00BA69DA">
          <w:rPr>
            <w:rStyle w:val="af"/>
            <w:rFonts w:ascii="彩虹粗仿宋" w:eastAsia="彩虹粗仿宋" w:hAnsi="宋体" w:hint="eastAsia"/>
            <w:noProof/>
            <w:sz w:val="28"/>
            <w:szCs w:val="32"/>
          </w:rPr>
          <w:t>十五、禁止行为</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_Toc124325899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32</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0" w:history="1">
        <w:r w:rsidR="00BA69DA">
          <w:rPr>
            <w:rStyle w:val="af"/>
            <w:rFonts w:ascii="彩虹粗仿宋" w:eastAsia="彩虹粗仿宋" w:hAnsi="宋体" w:hint="eastAsia"/>
            <w:noProof/>
            <w:sz w:val="28"/>
            <w:szCs w:val="32"/>
          </w:rPr>
          <w:t>十六、托管协议的变更、终止与基金财产的清算</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33</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1" w:history="1">
        <w:r w:rsidR="00BA69DA">
          <w:rPr>
            <w:rStyle w:val="af"/>
            <w:rFonts w:ascii="彩虹粗仿宋" w:eastAsia="彩虹粗仿宋" w:hAnsi="宋体" w:hint="eastAsia"/>
            <w:noProof/>
            <w:sz w:val="28"/>
            <w:szCs w:val="32"/>
          </w:rPr>
          <w:t>十七、违约责任</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35</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2" w:history="1">
        <w:r w:rsidR="00BA69DA">
          <w:rPr>
            <w:rStyle w:val="af"/>
            <w:rFonts w:ascii="彩虹粗仿宋" w:eastAsia="彩虹粗仿宋" w:hAnsi="宋体" w:hint="eastAsia"/>
            <w:noProof/>
            <w:sz w:val="28"/>
            <w:szCs w:val="32"/>
          </w:rPr>
          <w:t>十八、争议解决方式</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35</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3" w:history="1">
        <w:r w:rsidR="00BA69DA">
          <w:rPr>
            <w:rStyle w:val="af"/>
            <w:rFonts w:ascii="彩虹粗仿宋" w:eastAsia="彩虹粗仿宋" w:hAnsi="宋体" w:hint="eastAsia"/>
            <w:noProof/>
            <w:sz w:val="28"/>
            <w:szCs w:val="32"/>
          </w:rPr>
          <w:t>十九、托管协议的效力</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36</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4" w:history="1">
        <w:r w:rsidR="00BA69DA">
          <w:rPr>
            <w:rStyle w:val="af"/>
            <w:rFonts w:ascii="彩虹粗仿宋" w:eastAsia="彩虹粗仿宋" w:hAnsi="宋体" w:hint="eastAsia"/>
            <w:noProof/>
            <w:sz w:val="28"/>
            <w:szCs w:val="32"/>
          </w:rPr>
          <w:t>二十、其他事项</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36</w:t>
        </w:r>
        <w:r>
          <w:rPr>
            <w:rFonts w:ascii="彩虹粗仿宋" w:eastAsia="彩虹粗仿宋" w:hAnsi="宋体" w:hint="eastAsia"/>
            <w:noProof/>
            <w:sz w:val="28"/>
          </w:rPr>
          <w:fldChar w:fldCharType="end"/>
        </w:r>
      </w:hyperlink>
    </w:p>
    <w:p w:rsidR="0010476F" w:rsidRDefault="00830F2C">
      <w:pPr>
        <w:pStyle w:val="21"/>
        <w:tabs>
          <w:tab w:val="right" w:leader="dot" w:pos="8494"/>
        </w:tabs>
        <w:rPr>
          <w:rFonts w:ascii="彩虹粗仿宋" w:eastAsia="彩虹粗仿宋" w:hAnsi="宋体"/>
          <w:noProof/>
          <w:sz w:val="28"/>
        </w:rPr>
      </w:pPr>
      <w:hyperlink w:anchor="_Toc124325905" w:history="1">
        <w:r w:rsidR="00BA69DA">
          <w:rPr>
            <w:rStyle w:val="af"/>
            <w:rFonts w:ascii="彩虹粗仿宋" w:eastAsia="彩虹粗仿宋" w:hAnsi="宋体" w:hint="eastAsia"/>
            <w:noProof/>
            <w:sz w:val="28"/>
            <w:szCs w:val="32"/>
          </w:rPr>
          <w:t>二十一、托管协议的签订</w:t>
        </w:r>
        <w:r w:rsidR="00BA69DA">
          <w:rPr>
            <w:rFonts w:ascii="彩虹粗仿宋" w:eastAsia="彩虹粗仿宋" w:hAnsi="宋体" w:hint="eastAsia"/>
            <w:noProof/>
            <w:sz w:val="28"/>
          </w:rPr>
          <w:tab/>
        </w:r>
        <w:r>
          <w:rPr>
            <w:rFonts w:ascii="彩虹粗仿宋" w:eastAsia="彩虹粗仿宋" w:hAnsi="宋体" w:hint="eastAsia"/>
            <w:noProof/>
            <w:sz w:val="28"/>
          </w:rPr>
          <w:fldChar w:fldCharType="begin"/>
        </w:r>
        <w:r w:rsidR="00BA69DA">
          <w:rPr>
            <w:rFonts w:ascii="彩虹粗仿宋" w:eastAsia="彩虹粗仿宋" w:hAnsi="宋体" w:hint="eastAsia"/>
            <w:noProof/>
            <w:sz w:val="28"/>
          </w:rPr>
          <w:instrText xml:space="preserve"> PAGEREF _Toc124325905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04010">
          <w:rPr>
            <w:rFonts w:ascii="彩虹粗仿宋" w:eastAsia="彩虹粗仿宋" w:hAnsi="宋体"/>
            <w:noProof/>
            <w:sz w:val="28"/>
          </w:rPr>
          <w:t>36</w:t>
        </w:r>
        <w:r>
          <w:rPr>
            <w:rFonts w:ascii="彩虹粗仿宋" w:eastAsia="彩虹粗仿宋" w:hAnsi="宋体" w:hint="eastAsia"/>
            <w:noProof/>
            <w:sz w:val="28"/>
          </w:rPr>
          <w:fldChar w:fldCharType="end"/>
        </w:r>
      </w:hyperlink>
    </w:p>
    <w:p w:rsidR="0010476F" w:rsidRDefault="00830F2C">
      <w:pPr>
        <w:rPr>
          <w:rFonts w:ascii="彩虹粗仿宋" w:eastAsia="彩虹粗仿宋"/>
          <w:sz w:val="24"/>
        </w:rPr>
      </w:pPr>
      <w:r>
        <w:rPr>
          <w:rFonts w:ascii="彩虹粗仿宋" w:eastAsia="彩虹粗仿宋" w:hAnsi="宋体" w:hint="eastAsia"/>
          <w:sz w:val="28"/>
        </w:rPr>
        <w:lastRenderedPageBreak/>
        <w:fldChar w:fldCharType="end"/>
      </w:r>
    </w:p>
    <w:p w:rsidR="0010476F" w:rsidRDefault="00BA69D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泰柏瑞基金管理有限公司系一家依照中国法律合法成立并有效存续的有限责任公司，按照相关法律法规的规定具备担任基金管理人的资格和能力，拟募集发行华泰柏瑞MSCI中国A股国际通交易型开放式指数证券投资基金联接基金；</w:t>
      </w:r>
    </w:p>
    <w:p w:rsidR="0010476F" w:rsidRDefault="00BA69D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10476F" w:rsidRDefault="00BA69D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泰柏瑞基金管理有限公司拟担任华泰柏瑞MSCI中国A股国际通交易型开放式指数证券投资基金联接基金的基金管理人，中国建设银行股份有限公司拟担任华泰柏瑞MSCI中国A股国际通交易型开放式指数证券投资基金联接基金的基金托管人；</w:t>
      </w:r>
    </w:p>
    <w:p w:rsidR="0010476F" w:rsidRDefault="00BA69D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为明确华泰柏瑞MSCI中国A股国际通交易型开放式指数证券投资基金联接基金的基金管理人和基金托管人之间的权利义务关系，特制订本托管协议；</w:t>
      </w:r>
    </w:p>
    <w:p w:rsidR="0010476F" w:rsidRDefault="00BA69DA">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华泰柏瑞MSCI中国A股国际通交易型开放式指数证券投资基金联接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10476F" w:rsidRDefault="0010476F">
      <w:pPr>
        <w:rPr>
          <w:rFonts w:ascii="彩虹粗仿宋" w:eastAsia="彩虹粗仿宋"/>
          <w:sz w:val="24"/>
          <w:lang w:val="en-GB"/>
        </w:rPr>
      </w:pPr>
    </w:p>
    <w:p w:rsidR="0010476F" w:rsidRDefault="00BA69DA">
      <w:pPr>
        <w:pStyle w:val="2"/>
        <w:jc w:val="center"/>
        <w:rPr>
          <w:rFonts w:ascii="彩虹粗仿宋" w:eastAsia="彩虹粗仿宋"/>
        </w:rPr>
      </w:pPr>
      <w:bookmarkStart w:id="5" w:name="_Toc124325885"/>
      <w:r>
        <w:rPr>
          <w:rFonts w:ascii="彩虹粗仿宋" w:eastAsia="彩虹粗仿宋" w:hint="eastAsia"/>
        </w:rPr>
        <w:t>一、基金托管协议当事人</w:t>
      </w:r>
      <w:bookmarkEnd w:id="5"/>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名称：华泰柏瑞基金管理有限公司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注册地址：中国（上海）自由贸易试验区民生路</w:t>
      </w:r>
      <w:r>
        <w:rPr>
          <w:rFonts w:ascii="彩虹粗仿宋" w:eastAsia="彩虹粗仿宋" w:hAnsi="宋体" w:cs="Arial"/>
          <w:sz w:val="24"/>
        </w:rPr>
        <w:t>1199</w:t>
      </w:r>
      <w:r>
        <w:rPr>
          <w:rFonts w:ascii="彩虹粗仿宋" w:eastAsia="彩虹粗仿宋" w:hAnsi="宋体" w:cs="Arial" w:hint="eastAsia"/>
          <w:sz w:val="24"/>
        </w:rPr>
        <w:t>弄上海证大五道口广场</w:t>
      </w:r>
      <w:r>
        <w:rPr>
          <w:rFonts w:ascii="彩虹粗仿宋" w:eastAsia="彩虹粗仿宋" w:hAnsi="宋体" w:cs="Arial"/>
          <w:sz w:val="24"/>
        </w:rPr>
        <w:t>1</w:t>
      </w:r>
      <w:r>
        <w:rPr>
          <w:rFonts w:ascii="彩虹粗仿宋" w:eastAsia="彩虹粗仿宋" w:hAnsi="宋体" w:cs="Arial" w:hint="eastAsia"/>
          <w:sz w:val="24"/>
        </w:rPr>
        <w:t>号</w:t>
      </w:r>
      <w:r>
        <w:rPr>
          <w:rFonts w:ascii="彩虹粗仿宋" w:eastAsia="彩虹粗仿宋" w:hAnsi="宋体" w:cs="Arial"/>
          <w:sz w:val="24"/>
        </w:rPr>
        <w:t>17</w:t>
      </w:r>
      <w:r>
        <w:rPr>
          <w:rFonts w:ascii="彩虹粗仿宋" w:eastAsia="彩虹粗仿宋" w:hAnsi="宋体" w:cs="Arial" w:hint="eastAsia"/>
          <w:sz w:val="24"/>
        </w:rPr>
        <w:t>层</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办公地址：中国（上海）自由贸易试验区民生路</w:t>
      </w:r>
      <w:r>
        <w:rPr>
          <w:rFonts w:ascii="彩虹粗仿宋" w:eastAsia="彩虹粗仿宋" w:hAnsi="宋体" w:cs="Arial"/>
          <w:sz w:val="24"/>
        </w:rPr>
        <w:t>1199</w:t>
      </w:r>
      <w:r>
        <w:rPr>
          <w:rFonts w:ascii="彩虹粗仿宋" w:eastAsia="彩虹粗仿宋" w:hAnsi="宋体" w:cs="Arial" w:hint="eastAsia"/>
          <w:sz w:val="24"/>
        </w:rPr>
        <w:t>弄上海证大五道口广场</w:t>
      </w:r>
      <w:r>
        <w:rPr>
          <w:rFonts w:ascii="彩虹粗仿宋" w:eastAsia="彩虹粗仿宋" w:hAnsi="宋体" w:cs="Arial"/>
          <w:sz w:val="24"/>
        </w:rPr>
        <w:t>1</w:t>
      </w:r>
      <w:r>
        <w:rPr>
          <w:rFonts w:ascii="彩虹粗仿宋" w:eastAsia="彩虹粗仿宋" w:hAnsi="宋体" w:cs="Arial" w:hint="eastAsia"/>
          <w:sz w:val="24"/>
        </w:rPr>
        <w:t>号</w:t>
      </w:r>
      <w:r>
        <w:rPr>
          <w:rFonts w:ascii="彩虹粗仿宋" w:eastAsia="彩虹粗仿宋" w:hAnsi="宋体" w:cs="Arial"/>
          <w:sz w:val="24"/>
        </w:rPr>
        <w:t>17</w:t>
      </w:r>
      <w:r>
        <w:rPr>
          <w:rFonts w:ascii="彩虹粗仿宋" w:eastAsia="彩虹粗仿宋" w:hAnsi="宋体" w:cs="Arial" w:hint="eastAsia"/>
          <w:sz w:val="24"/>
        </w:rPr>
        <w:t>层</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邮政编码：200135</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法定代表人：贾波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w:t>
      </w:r>
      <w:r>
        <w:rPr>
          <w:rStyle w:val="read"/>
          <w:rFonts w:ascii="彩虹粗仿宋" w:eastAsia="彩虹粗仿宋" w:hAnsi="宋体" w:cs="Arial" w:hint="eastAsia"/>
          <w:sz w:val="24"/>
        </w:rPr>
        <w:t>年11月18日</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w:t>
      </w:r>
      <w:r>
        <w:rPr>
          <w:rStyle w:val="read"/>
          <w:rFonts w:ascii="彩虹粗仿宋" w:eastAsia="彩虹粗仿宋" w:hAnsi="宋体" w:cs="Arial" w:hint="eastAsia"/>
          <w:sz w:val="24"/>
        </w:rPr>
        <w:t>[2004]178</w:t>
      </w:r>
      <w:r>
        <w:rPr>
          <w:rFonts w:ascii="彩虹粗仿宋" w:eastAsia="彩虹粗仿宋" w:hAnsi="宋体" w:cs="Arial" w:hint="eastAsia"/>
          <w:sz w:val="24"/>
        </w:rPr>
        <w:t>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10476F" w:rsidRDefault="00BA69DA">
      <w:pPr>
        <w:tabs>
          <w:tab w:val="left" w:pos="29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注册资本：贰亿</w:t>
      </w:r>
      <w:r>
        <w:rPr>
          <w:rStyle w:val="read"/>
          <w:rFonts w:ascii="彩虹粗仿宋" w:eastAsia="彩虹粗仿宋" w:hAnsi="宋体" w:cs="Arial" w:hint="eastAsia"/>
          <w:sz w:val="24"/>
        </w:rPr>
        <w:t>元人民币</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存续期间：持续经营</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经营范围：发起设立基金、基金管理及中国证监会批准的其他业务</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6" w:name="OLE_LINK3"/>
      <w:r>
        <w:rPr>
          <w:rFonts w:ascii="彩虹粗仿宋" w:eastAsia="彩虹粗仿宋" w:hAnsi="宋体" w:cs="Arial" w:hint="eastAsia"/>
          <w:sz w:val="24"/>
        </w:rPr>
        <w:t>]</w:t>
      </w:r>
      <w:bookmarkEnd w:id="6"/>
      <w:r>
        <w:rPr>
          <w:rFonts w:ascii="彩虹粗仿宋" w:eastAsia="彩虹粗仿宋" w:hAnsi="宋体" w:cs="Arial" w:hint="eastAsia"/>
          <w:sz w:val="24"/>
        </w:rPr>
        <w:t>12号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10476F" w:rsidRDefault="00BA69DA">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0476F" w:rsidRDefault="0010476F">
      <w:pPr>
        <w:rPr>
          <w:rFonts w:ascii="彩虹粗仿宋" w:eastAsia="彩虹粗仿宋"/>
          <w:sz w:val="24"/>
        </w:rPr>
      </w:pPr>
    </w:p>
    <w:p w:rsidR="0010476F" w:rsidRDefault="00BA69DA">
      <w:pPr>
        <w:pStyle w:val="2"/>
        <w:jc w:val="center"/>
        <w:rPr>
          <w:rFonts w:ascii="彩虹粗仿宋" w:eastAsia="彩虹粗仿宋"/>
          <w:sz w:val="30"/>
        </w:rPr>
      </w:pPr>
      <w:bookmarkStart w:id="7" w:name="_Toc124325886"/>
      <w:r>
        <w:rPr>
          <w:rFonts w:ascii="彩虹粗仿宋" w:eastAsia="彩虹粗仿宋" w:hint="eastAsia"/>
          <w:sz w:val="30"/>
        </w:rPr>
        <w:t>二、基金托管协议的依据、目的和原则</w:t>
      </w:r>
      <w:bookmarkEnd w:id="7"/>
    </w:p>
    <w:p w:rsidR="0010476F" w:rsidRDefault="00BA69DA">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10476F" w:rsidRDefault="00BA69DA">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10476F" w:rsidRDefault="0010476F">
      <w:pPr>
        <w:rPr>
          <w:rFonts w:ascii="彩虹粗仿宋" w:eastAsia="彩虹粗仿宋"/>
          <w:sz w:val="24"/>
        </w:rPr>
      </w:pPr>
    </w:p>
    <w:p w:rsidR="0010476F" w:rsidRDefault="00BA69DA">
      <w:pPr>
        <w:pStyle w:val="2"/>
        <w:jc w:val="center"/>
        <w:rPr>
          <w:rFonts w:ascii="彩虹粗仿宋" w:eastAsia="彩虹粗仿宋"/>
          <w:sz w:val="30"/>
          <w:szCs w:val="24"/>
        </w:rPr>
      </w:pPr>
      <w:bookmarkStart w:id="8" w:name="_Toc124325887"/>
      <w:r>
        <w:rPr>
          <w:rFonts w:ascii="彩虹粗仿宋" w:eastAsia="彩虹粗仿宋" w:hint="eastAsia"/>
          <w:sz w:val="30"/>
        </w:rPr>
        <w:lastRenderedPageBreak/>
        <w:t>三、基金托管人对基金管理人的业务监督和核查</w:t>
      </w:r>
      <w:bookmarkEnd w:id="8"/>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0476F" w:rsidRDefault="00BA69DA">
      <w:pPr>
        <w:adjustRightInd w:val="0"/>
        <w:snapToGrid w:val="0"/>
        <w:ind w:firstLineChars="200" w:firstLine="480"/>
        <w:rPr>
          <w:rFonts w:ascii="彩虹粗仿宋" w:eastAsia="彩虹粗仿宋"/>
          <w:sz w:val="24"/>
        </w:rPr>
      </w:pPr>
      <w:r>
        <w:rPr>
          <w:rFonts w:ascii="彩虹粗仿宋" w:eastAsia="彩虹粗仿宋" w:hint="eastAsia"/>
          <w:sz w:val="24"/>
        </w:rPr>
        <w:t>本基金资产投资于具有良好流动性的金融工具，包括目标ETF、标的指数成份股及备选成份股、非成份股、债券（包括国债、金融债、企业债、公司债、次级债、可转换债券（含分离交易可转债）、央行票据、短期融资券、超短期融资券、中期票据等）、资产支持证券、债券回购、银行存款、权证、股指期货、货币市场工具以及中国证监会允许基金投资的其他金融工具（但须符合中国证监会的相关规定）。</w:t>
      </w:r>
    </w:p>
    <w:p w:rsidR="0010476F" w:rsidRDefault="00BA69DA">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本基金投资于目标ETF的比例不低于基金资产净值的90%；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本基金每个交易日日终在扣除股指期货合约需缴纳的交易保证金后，应当保持不低于基金资产净值5％的现金（不包括结算备付金、存出保证金、应收申购款等）或者到期日在一年以内的政府债券；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3.本基金持有的全部权证，其市值不得超过基金资产净值的3％；</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本基金管理人管理且由本基金托管人托管的全部基金持有的同一权证，不得超过该权证的10%；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5.本基金在任何交易日买入权证的总金额，不得超过上一交易日基金资产净值的0.5％；</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6.本基金投资于同一原始权益人的各类资产支持证券的比例，不得超过基金资产净值的10％；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sz w:val="24"/>
        </w:rPr>
        <w:t>.</w:t>
      </w:r>
      <w:r>
        <w:rPr>
          <w:rFonts w:ascii="彩虹粗仿宋" w:eastAsia="彩虹粗仿宋" w:hAnsi="宋体" w:cs="Arial" w:hint="eastAsia"/>
          <w:sz w:val="24"/>
        </w:rPr>
        <w:t>本基金管理人管理且由本基金托管人托管的全部基金投资于同一原始权益人的各类资产支持证券，不得超过其各类资产支持证券合计规模的10%；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8.本基金持有的全部资产支持证券，其市值不得超过基金资产净值的20％；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9.本基金持有的同一(指同一信用级别)资产支持证券的比例，不得超过该资产支持证券规模的10％；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0.本基金应投资于信用级别评级为BBB以上(含BBB)的资产支持证券。基金持有资产支持证券期间，如果其信用等级下降、不再符合投资标准，应在评级报</w:t>
      </w:r>
      <w:r>
        <w:rPr>
          <w:rFonts w:ascii="彩虹粗仿宋" w:eastAsia="彩虹粗仿宋" w:hAnsi="宋体" w:cs="Arial" w:hint="eastAsia"/>
          <w:sz w:val="24"/>
        </w:rPr>
        <w:lastRenderedPageBreak/>
        <w:t>告发布之日起3个月内予以全部卖出；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1.基金财产参与股票发行申购，本基金所申报的金额不超过本基金的总资产，本基金所申报的股票数量不超过拟发行股票公司本次发行股票的总量；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2.本基金进入全国银行间同业市场进行债券回购的资金余额不得超过基金资产净值的40％；债券回购最长期限为1年，债券回购到期后不得展期；</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3.本基金资产总值不得超过基金资产净值的140%；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4.本基金持有的所有流通受限证券，其公允价值不得超过本基金资产净值的</w:t>
      </w:r>
      <w:r>
        <w:rPr>
          <w:rFonts w:ascii="彩虹粗仿宋" w:eastAsia="彩虹粗仿宋" w:hAnsi="宋体" w:cs="Arial"/>
          <w:sz w:val="24"/>
        </w:rPr>
        <w:t>15</w:t>
      </w:r>
      <w:r>
        <w:rPr>
          <w:rFonts w:ascii="彩虹粗仿宋" w:eastAsia="彩虹粗仿宋" w:hAnsi="宋体" w:cs="Arial" w:hint="eastAsia"/>
          <w:sz w:val="24"/>
        </w:rPr>
        <w:t>%；本基金持有的同一流通受限证券，其公允价值不得超过本基金资产净值的</w:t>
      </w:r>
      <w:r>
        <w:rPr>
          <w:rFonts w:ascii="彩虹粗仿宋" w:eastAsia="彩虹粗仿宋" w:hAnsi="宋体" w:cs="Arial"/>
          <w:sz w:val="24"/>
        </w:rPr>
        <w:t>10</w:t>
      </w:r>
      <w:r>
        <w:rPr>
          <w:rFonts w:ascii="彩虹粗仿宋" w:eastAsia="彩虹粗仿宋" w:hAnsi="宋体" w:cs="Arial" w:hint="eastAsia"/>
          <w:sz w:val="24"/>
        </w:rPr>
        <w:t xml:space="preserve"> %；</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15.本基金参与股指期货投资，需遵循下述比例限制：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（1）本基金在任何交易日日终，持有的买入股指期货合约价值，不得超过基金资产净值的10%；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（2）本基金在任何交易日日终，持有的买入期货合约价值与有价证券市值之和,不得超过基金资产净值的</w:t>
      </w:r>
      <w:r>
        <w:rPr>
          <w:rFonts w:ascii="彩虹粗仿宋" w:eastAsia="彩虹粗仿宋" w:hAnsi="宋体" w:cs="Arial"/>
          <w:sz w:val="24"/>
        </w:rPr>
        <w:t>100%</w:t>
      </w:r>
      <w:r>
        <w:rPr>
          <w:rFonts w:ascii="彩虹粗仿宋" w:eastAsia="彩虹粗仿宋" w:hAnsi="宋体" w:cs="Arial" w:hint="eastAsia"/>
          <w:sz w:val="24"/>
        </w:rPr>
        <w:t>；</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其中，有价证券指股票、目标ETF、债券（不含到期日在一年以内的政府债券）、权证、资产支持证券、买入返售金融资产（不含质押式回购）等；</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（3）本基金在任何交易日日终，持有的卖出期货合约价值不得超过基金持有的股票和目标ETF总市值的20%；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（4）本基金在任何交易日内交易（不包括平仓）的股指期货合约的成交金额不得超过上一交易日基金资产净值的20%；</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16.本基金主动投资于流动性受限资产的市值合计不得超过基金资产净值的15%，因证券市场波动、上市公司股票停牌、基金规模变动等基金管理人之外的因素致使基金不符合本款所规定比例限制的，基金管理人不得主动新增流动性受限资产的投资；</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17.本基金与私募类证券资管产品及中国证监会认定的其他主体为交易对手开展逆回购交易的，可接受质押品的资质要求应当与基金合同约定的投资范围保持一致；</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18.法律法规及中国证监会规定的和基金合同约定的其他投资限制。</w:t>
      </w:r>
    </w:p>
    <w:p w:rsidR="0010476F" w:rsidRDefault="00BA69DA">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除上述第2、10、16、17项外，</w:t>
      </w:r>
      <w:r>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因证券、期货市场波动、证券发行人合并、基金规模变动等基金管理人之外的因素致使基金投资比例不符合上述规定投资比例的，基金管理人应当在10个交易日内进行调整。法律法规另有规定的，从其规</w:t>
      </w:r>
      <w:r>
        <w:rPr>
          <w:rFonts w:ascii="彩虹粗仿宋" w:eastAsia="彩虹粗仿宋" w:hint="eastAsia"/>
          <w:sz w:val="24"/>
        </w:rPr>
        <w:lastRenderedPageBreak/>
        <w:t xml:space="preserve">定。 </w:t>
      </w:r>
    </w:p>
    <w:p w:rsidR="0010476F" w:rsidRDefault="00BA69DA">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期间，基金的投资范围、投资策略应当符合《基金合同》的约定。基金托管人对基金的投资的监督与检查自《基金合同》生效之日起开始。</w:t>
      </w:r>
    </w:p>
    <w:p w:rsidR="0010476F" w:rsidRDefault="00BA69DA">
      <w:pPr>
        <w:adjustRightInd w:val="0"/>
        <w:snapToGrid w:val="0"/>
        <w:ind w:firstLineChars="200" w:firstLine="480"/>
        <w:rPr>
          <w:rFonts w:ascii="彩虹粗仿宋" w:eastAsia="彩虹粗仿宋"/>
          <w:sz w:val="24"/>
        </w:rPr>
      </w:pPr>
      <w:r>
        <w:rPr>
          <w:rFonts w:ascii="彩虹粗仿宋" w:eastAsia="彩虹粗仿宋" w:hint="eastAsia"/>
          <w:sz w:val="24"/>
        </w:rPr>
        <w:t>如果法律法规对上述投资比例限制进行变更的，以变更后的规定为准。如法律法规或监管部门取消上述限制，如适用于本基金，基金管理人在履行适当程序后，则本基金投资不再受相关限制。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9" w:name="OLE_LINK1"/>
      <w:r>
        <w:rPr>
          <w:rFonts w:ascii="彩虹粗仿宋" w:eastAsia="彩虹粗仿宋" w:hAnsi="宋体" w:cs="Arial" w:hint="eastAsia"/>
          <w:sz w:val="24"/>
        </w:rPr>
        <w:t>根据有关法律法规的规定及《基金合同》的约定，</w:t>
      </w:r>
      <w:bookmarkEnd w:id="9"/>
      <w:r>
        <w:rPr>
          <w:rFonts w:ascii="彩虹粗仿宋" w:eastAsia="彩虹粗仿宋" w:hAnsi="宋体" w:cs="Arial" w:hint="eastAsia"/>
          <w:sz w:val="24"/>
        </w:rPr>
        <w:t>对本托管协议第十五条第（十二）款基金投资禁止行为通过事后监督方式进行监督。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10476F" w:rsidRDefault="00BA69DA">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0476F" w:rsidRDefault="00BA69DA">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负责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w:t>
      </w:r>
      <w:r>
        <w:rPr>
          <w:rFonts w:ascii="彩虹粗仿宋" w:eastAsia="彩虹粗仿宋" w:hAnsi="宋体" w:cs="Arial" w:hint="eastAsia"/>
          <w:color w:val="000000"/>
          <w:sz w:val="24"/>
        </w:rPr>
        <w:lastRenderedPageBreak/>
        <w:t>基金管理人，基金托管人不承担由此造成的任何损失和责任。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w:t>
      </w:r>
      <w:r>
        <w:rPr>
          <w:rFonts w:ascii="彩虹粗仿宋" w:eastAsia="彩虹粗仿宋" w:hAnsi="宋体" w:cs="Arial" w:hint="eastAsia"/>
          <w:sz w:val="24"/>
        </w:rPr>
        <w:lastRenderedPageBreak/>
        <w:t>托管人提交有关书面资料，并保证向基金托管人提供的有关资料真实、准确、完整。有关资料如有调整，基金管理人应及时提供调整后的资料。上述书面资料包括但不限于：</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（4）基金拟认购的数量、价格、总成本、账面价值。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日内，在中国证监会指定媒体披露所投资非公开发行股票的名称、数量、总成本、账面价值，以及总成本和账面价值占基金资产净值的比例、锁定期等信息。</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5.基金托管人根据有关规定有权对基金管理人进行以下事项监督：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（1）本基金投资流通受限证券时的法律法规遵守情况。</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（2）在基金投资流通受限证券管理工作方面有关制度、流动性风险处置预案的建立与完善情况。</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（3）有关比例限制的执行情况。</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（4）信息披露情况。</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6.相关法律法规对基金投资流通受限证券有新规定的，从其规定。</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w:t>
      </w:r>
      <w:r>
        <w:rPr>
          <w:rFonts w:ascii="彩虹粗仿宋" w:eastAsia="彩虹粗仿宋" w:hAnsi="宋体" w:cs="Arial"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0476F" w:rsidRDefault="0010476F">
      <w:pPr>
        <w:rPr>
          <w:rFonts w:ascii="彩虹粗仿宋" w:eastAsia="彩虹粗仿宋"/>
          <w:sz w:val="24"/>
        </w:rPr>
      </w:pPr>
    </w:p>
    <w:p w:rsidR="0010476F" w:rsidRDefault="00BA69DA">
      <w:pPr>
        <w:pStyle w:val="2"/>
        <w:jc w:val="center"/>
        <w:rPr>
          <w:rFonts w:ascii="彩虹粗仿宋" w:eastAsia="彩虹粗仿宋"/>
          <w:sz w:val="30"/>
        </w:rPr>
      </w:pPr>
      <w:bookmarkStart w:id="10" w:name="_Toc86223242"/>
      <w:bookmarkStart w:id="11" w:name="_Toc120435783"/>
      <w:bookmarkStart w:id="12" w:name="_Toc110765660"/>
      <w:bookmarkStart w:id="13" w:name="_Toc86726439"/>
      <w:bookmarkStart w:id="14" w:name="_Toc108512358"/>
      <w:bookmarkStart w:id="15" w:name="_Toc86727355"/>
      <w:bookmarkStart w:id="16" w:name="_Toc86649722"/>
      <w:bookmarkStart w:id="17" w:name="_Toc110830492"/>
      <w:bookmarkStart w:id="18" w:name="_Toc110761796"/>
      <w:bookmarkStart w:id="19" w:name="_Toc86737929"/>
      <w:bookmarkStart w:id="20" w:name="_Toc118972648"/>
      <w:bookmarkStart w:id="21" w:name="_Toc89163368"/>
      <w:bookmarkStart w:id="22" w:name="_Toc86225291"/>
      <w:bookmarkStart w:id="23" w:name="_Toc119402710"/>
      <w:bookmarkStart w:id="24" w:name="_Toc118774803"/>
      <w:bookmarkStart w:id="25" w:name="_Toc124325888"/>
      <w:bookmarkStart w:id="26" w:name="_Toc118212950"/>
      <w:r>
        <w:rPr>
          <w:rFonts w:ascii="彩虹粗仿宋" w:eastAsia="彩虹粗仿宋"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w:t>
      </w:r>
      <w:r>
        <w:rPr>
          <w:rFonts w:ascii="彩虹粗仿宋" w:eastAsia="彩虹粗仿宋" w:hAnsi="宋体" w:cs="Arial" w:hint="eastAsia"/>
          <w:sz w:val="24"/>
        </w:rPr>
        <w:lastRenderedPageBreak/>
        <w:t>理人应报告中国证监会。</w:t>
      </w:r>
    </w:p>
    <w:p w:rsidR="0010476F" w:rsidRDefault="0010476F">
      <w:pPr>
        <w:rPr>
          <w:rFonts w:ascii="彩虹粗仿宋" w:eastAsia="彩虹粗仿宋"/>
          <w:sz w:val="24"/>
        </w:rPr>
      </w:pPr>
    </w:p>
    <w:p w:rsidR="0010476F" w:rsidRDefault="00BA69DA">
      <w:pPr>
        <w:pStyle w:val="2"/>
        <w:jc w:val="center"/>
        <w:rPr>
          <w:rFonts w:ascii="彩虹粗仿宋" w:eastAsia="彩虹粗仿宋"/>
          <w:sz w:val="30"/>
        </w:rPr>
      </w:pPr>
      <w:bookmarkStart w:id="27" w:name="_Toc118212951"/>
      <w:bookmarkStart w:id="28" w:name="_Toc118774804"/>
      <w:bookmarkStart w:id="29" w:name="_Toc120435784"/>
      <w:bookmarkStart w:id="30" w:name="_Toc119402711"/>
      <w:bookmarkStart w:id="31" w:name="_Toc86727356"/>
      <w:bookmarkStart w:id="32" w:name="_Toc108512359"/>
      <w:bookmarkStart w:id="33" w:name="_Toc86225292"/>
      <w:bookmarkStart w:id="34" w:name="_Toc86649723"/>
      <w:bookmarkStart w:id="35" w:name="_Toc110761797"/>
      <w:bookmarkStart w:id="36" w:name="_Toc84133786"/>
      <w:bookmarkStart w:id="37" w:name="_Toc110765661"/>
      <w:bookmarkStart w:id="38" w:name="_Toc86223243"/>
      <w:bookmarkStart w:id="39" w:name="_Toc89163369"/>
      <w:bookmarkStart w:id="40" w:name="_Toc84234388"/>
      <w:bookmarkStart w:id="41" w:name="_Toc86204789"/>
      <w:bookmarkStart w:id="42" w:name="_Toc84234435"/>
      <w:bookmarkStart w:id="43" w:name="_Toc86737930"/>
      <w:bookmarkStart w:id="44" w:name="_Toc86726440"/>
      <w:bookmarkStart w:id="45" w:name="_Toc110830493"/>
      <w:bookmarkStart w:id="46" w:name="_Toc118972649"/>
      <w:bookmarkStart w:id="47" w:name="_Toc124325889"/>
      <w:r>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1.基金托管人可以基金的名义在其营业机构开立基金的银行账户，并根据基金管理人合法合规的指令办理资金收付。本基金的银行预留印鉴由基金托管人保管和使用。</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10476F" w:rsidRDefault="00BA69DA">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另有规定的，从其规定。</w:t>
      </w:r>
    </w:p>
    <w:p w:rsidR="0010476F" w:rsidRDefault="00BA69DA">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10476F" w:rsidRDefault="0010476F">
      <w:pPr>
        <w:adjustRightInd w:val="0"/>
        <w:snapToGrid w:val="0"/>
        <w:ind w:firstLineChars="200" w:firstLine="600"/>
        <w:rPr>
          <w:rFonts w:ascii="彩虹粗仿宋" w:eastAsia="彩虹粗仿宋"/>
          <w:sz w:val="30"/>
          <w:szCs w:val="30"/>
        </w:rPr>
      </w:pPr>
    </w:p>
    <w:p w:rsidR="0010476F" w:rsidRDefault="0010476F">
      <w:pPr>
        <w:rPr>
          <w:rFonts w:ascii="彩虹粗仿宋" w:eastAsia="彩虹粗仿宋"/>
          <w:sz w:val="24"/>
        </w:rPr>
      </w:pPr>
    </w:p>
    <w:p w:rsidR="0010476F" w:rsidRDefault="00BA69DA">
      <w:pPr>
        <w:pStyle w:val="2"/>
        <w:jc w:val="center"/>
        <w:rPr>
          <w:rFonts w:ascii="彩虹粗仿宋" w:eastAsia="彩虹粗仿宋"/>
          <w:sz w:val="30"/>
        </w:rPr>
      </w:pPr>
      <w:bookmarkStart w:id="48" w:name="_Toc84133787"/>
      <w:bookmarkStart w:id="49" w:name="_Toc124325890"/>
      <w:bookmarkStart w:id="50" w:name="_Toc120435785"/>
      <w:bookmarkStart w:id="51" w:name="_Toc86204790"/>
      <w:bookmarkStart w:id="52" w:name="_Toc86649724"/>
      <w:bookmarkStart w:id="53" w:name="_Toc86225293"/>
      <w:bookmarkStart w:id="54" w:name="_Toc84234389"/>
      <w:bookmarkStart w:id="55" w:name="_Toc86223244"/>
      <w:bookmarkStart w:id="56" w:name="_Toc86737931"/>
      <w:bookmarkStart w:id="57" w:name="_Toc110765662"/>
      <w:bookmarkStart w:id="58" w:name="_Toc118774805"/>
      <w:bookmarkStart w:id="59" w:name="_Toc110830494"/>
      <w:bookmarkStart w:id="60" w:name="_Toc118972650"/>
      <w:bookmarkStart w:id="61" w:name="_Toc118212952"/>
      <w:bookmarkStart w:id="62" w:name="_Toc108512360"/>
      <w:bookmarkStart w:id="63" w:name="_Toc84234436"/>
      <w:bookmarkStart w:id="64" w:name="_Toc119402712"/>
      <w:bookmarkStart w:id="65" w:name="_Toc110761798"/>
      <w:bookmarkStart w:id="66" w:name="_Toc86726441"/>
      <w:bookmarkStart w:id="67" w:name="_Toc89163370"/>
      <w:bookmarkStart w:id="68" w:name="_Toc86727357"/>
      <w:r>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w:t>
      </w:r>
      <w:r>
        <w:rPr>
          <w:rFonts w:ascii="彩虹粗仿宋" w:eastAsia="彩虹粗仿宋" w:hAnsi="宋体" w:hint="eastAsia"/>
          <w:sz w:val="24"/>
        </w:rPr>
        <w:lastRenderedPageBreak/>
        <w:t>面通知基金托管人。</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10476F" w:rsidRDefault="00BA69DA">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10476F" w:rsidRDefault="00BA69DA">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（七）更换被授权人员的程序</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69" w:name="_Toc86649725"/>
      <w:bookmarkStart w:id="70" w:name="_Toc110830495"/>
      <w:bookmarkStart w:id="71" w:name="_Toc124325891"/>
      <w:bookmarkStart w:id="72" w:name="_Toc86225294"/>
      <w:bookmarkStart w:id="73" w:name="_Toc86223245"/>
      <w:bookmarkStart w:id="74" w:name="_Toc86726442"/>
      <w:bookmarkStart w:id="75" w:name="_Toc119402713"/>
      <w:bookmarkStart w:id="76" w:name="_Toc118972651"/>
      <w:bookmarkStart w:id="77" w:name="_Toc118774806"/>
      <w:bookmarkStart w:id="78" w:name="_Toc110761799"/>
      <w:bookmarkStart w:id="79" w:name="_Toc120435786"/>
      <w:bookmarkStart w:id="80" w:name="_Toc84133788"/>
      <w:bookmarkStart w:id="81" w:name="_Toc86204791"/>
      <w:bookmarkStart w:id="82" w:name="_Toc86727358"/>
      <w:bookmarkStart w:id="83" w:name="_Toc108512361"/>
      <w:bookmarkStart w:id="84" w:name="_Toc110765663"/>
      <w:bookmarkStart w:id="85" w:name="_Toc118212953"/>
      <w:bookmarkStart w:id="86" w:name="_Toc86737932"/>
      <w:bookmarkStart w:id="87" w:name="_Toc84234437"/>
      <w:bookmarkStart w:id="88" w:name="_Toc89163371"/>
      <w:bookmarkStart w:id="89" w:name="_Toc84234390"/>
      <w:r>
        <w:rPr>
          <w:rFonts w:ascii="彩虹粗仿宋" w:eastAsia="彩虹粗仿宋" w:hint="eastAsia"/>
          <w:sz w:val="30"/>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包括目标ETF份额）买卖和申购、赎回目标ETF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10476F" w:rsidRDefault="00BA69DA">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w:t>
      </w:r>
    </w:p>
    <w:p w:rsidR="0010476F" w:rsidRDefault="00BA69DA">
      <w:pPr>
        <w:adjustRightInd w:val="0"/>
        <w:snapToGrid w:val="0"/>
        <w:rPr>
          <w:rFonts w:ascii="彩虹粗仿宋" w:eastAsia="彩虹粗仿宋"/>
          <w:sz w:val="24"/>
        </w:rPr>
      </w:pPr>
      <w:r>
        <w:rPr>
          <w:rFonts w:ascii="彩虹粗仿宋" w:eastAsia="彩虹粗仿宋" w:hint="eastAsia"/>
          <w:sz w:val="24"/>
        </w:rPr>
        <w:lastRenderedPageBreak/>
        <w:t>银行证券资金结算协议》，如投资港股通，还需签订《证券投资基金港股通结算补充协议》用以具体明确基金管理人与基金托管人在证券交易资金结算业务中的责任。</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0476F" w:rsidRDefault="00BA69DA">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的中国证券登记结算有限责任公司的资金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2.交易记录、资金和证券账目核对的时间和方式</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基金管理人和基金托管人每交易日结束后核对证券账目，确保双方账目相符。基金管理人和基金托管人每月月末核对实物证券账目。</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8.赎回和分红资金划拨规定</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如系基金管理人的原因造成，责任由基金管理人承担，基金托管人不承担垫款义务。</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10476F" w:rsidRDefault="00BA69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依照《信息披露办法》的有关规定在中国证监会指定媒体上公告并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w:t>
      </w:r>
      <w:r>
        <w:rPr>
          <w:rFonts w:ascii="彩虹粗仿宋" w:eastAsia="彩虹粗仿宋" w:hAnsi="宋体" w:cs="Arial" w:hint="eastAsia"/>
          <w:sz w:val="24"/>
        </w:rPr>
        <w:lastRenderedPageBreak/>
        <w:t>基金托管人发送现金红利的划款指令，基金托管人应及时将资金划入专用账户。</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10476F" w:rsidRDefault="00BA69DA">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10476F" w:rsidRDefault="00BA69DA">
      <w:pPr>
        <w:pStyle w:val="2"/>
        <w:jc w:val="center"/>
        <w:rPr>
          <w:rFonts w:ascii="彩虹粗仿宋" w:eastAsia="彩虹粗仿宋"/>
          <w:sz w:val="30"/>
        </w:rPr>
      </w:pPr>
      <w:bookmarkStart w:id="90" w:name="_Toc124325892"/>
      <w:r>
        <w:rPr>
          <w:rFonts w:ascii="彩虹粗仿宋" w:eastAsia="彩虹粗仿宋" w:hint="eastAsia"/>
          <w:sz w:val="30"/>
        </w:rPr>
        <w:t xml:space="preserve"> 八、基金资产净值计算和会计核算</w:t>
      </w:r>
      <w:bookmarkEnd w:id="90"/>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基金管理人每个交易日计算基金资产净值及各类基金份额净值，并按规定公告。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2.基金管理人应每个交易日对基金资产估值。但基金管理人根据法律法规或《基金合同》的规定暂停估值时除外。基金管理人每个交易日对基金资产估值后，</w:t>
      </w:r>
      <w:r>
        <w:rPr>
          <w:rFonts w:ascii="彩虹粗仿宋" w:eastAsia="彩虹粗仿宋" w:hAnsi="宋体" w:cs="Arial" w:hint="eastAsia"/>
          <w:sz w:val="24"/>
        </w:rPr>
        <w:lastRenderedPageBreak/>
        <w:t>将各类基金份额净值结果发送基金托管人，经基金托管人复核无误后，由基金管理人对外公布。</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基金所拥有的目标ETF、股票、权证、债券、股指期货合约、银行存款本息、应收款项、其它投资等资产及负债。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②首次公开发行未上市的股票、权证，采用估值技术确定公允价值，在估值技术难以可靠计量公允价值的情况下，按成本估值；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③首次公开发行有明确锁定期的股票及非公开发行有明确锁定期的股票，按监管机构或行业协会有关规定确定公允价值。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（3）交易所市场交易的固定收益品种的估值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对在交易所市场上市交易或挂牌转让的实行全价交易的固定收益品种（可转债除外），选取第三方估值机构提供的相应品种当日的估值全价减去估值全价中所含的债券应收利息（税后）得到的净价进行估值；对在交易所市场上市交易或挂牌转让的实行净价交易的固定收益品种，选取第三方估值机构提供的相应品种当日的估值净价进行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②对在交易所市场上市交易的可转换债券，按照每日收盘价作为估值全价；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④对在交易所市场发行未上市或未挂牌转让的债券，对存在活跃市场的情况</w:t>
      </w:r>
      <w:r>
        <w:rPr>
          <w:rFonts w:ascii="彩虹粗仿宋" w:eastAsia="彩虹粗仿宋" w:hAnsi="宋体" w:cs="Arial" w:hint="eastAsia"/>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（4）全国银行间市场交易品种的估值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②对银行间市场未上市，且第三方估值机构未提供估值价格的债券，在发行利率与二级市场利率不存在明显差异，未上市期间市场利率没有发生大的变动的情况下，按成本估值。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（5）同一证券同时在两个或者两个以上市场交易的，按证券所处的市场分别估值。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（6）因持有股票而享有的配股权，采用估值技术确定公允价值进行估值，在估值技术难以可靠计量公允价值的情况下，按成本进行估值。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bookmarkStart w:id="91" w:name="_Hlk407637557"/>
      <w:r>
        <w:rPr>
          <w:rFonts w:ascii="彩虹粗仿宋" w:eastAsia="彩虹粗仿宋" w:hAnsi="宋体" w:cs="Arial" w:hint="eastAsia"/>
          <w:sz w:val="24"/>
        </w:rPr>
        <w:t>股指期货合约以估值当日结算价进行估值，估值当日无结算价的，且最近交易日后经济环境未发生重大变化的，采用最近交易日结算价估值。</w:t>
      </w:r>
      <w:bookmarkEnd w:id="91"/>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（8）目标ETF采用估值日该基金基金份额净值估值；若估值日为非证券交易所营业日，以该基金最近估值日的基金份额净值估值。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（9）当本基金发生大额申购或赎回情形时，本基金管理人可以采用摆动定价机制，以确保基金估值的公平性。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（10）如有确凿证据表明按上述方法进行估值不能客观反映其公允价值的，基金管理人可根据具体情况与基金托管人商定后，按最能反映公允价值的价格估值。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（11）相关法律法规以及监管部门有强制规定的，从其规定。如有新增事项，按国家最新规定估值。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w:t>
      </w:r>
      <w:r>
        <w:rPr>
          <w:rFonts w:ascii="彩虹粗仿宋" w:eastAsia="彩虹粗仿宋" w:hAnsi="宋体" w:cs="Arial" w:hint="eastAsia"/>
          <w:sz w:val="24"/>
        </w:rPr>
        <w:lastRenderedPageBreak/>
        <w:t>计问题，如经相关各方在平等基础上充分讨论后，仍无法达成一致意见的，按照基金管理人对基金资产净值的计算结果对外予以公布。</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3.特殊情形的处理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基金管理人、基金托管人按估值方法的第</w:t>
      </w:r>
      <w:r>
        <w:rPr>
          <w:rFonts w:ascii="彩虹粗仿宋" w:eastAsia="彩虹粗仿宋" w:hAnsi="宋体" w:cs="Arial"/>
          <w:sz w:val="24"/>
        </w:rPr>
        <w:t>(10)项进行估值时，所造成的误差不作为基金份额净值错误处理。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由于不可抗力，或证券、期货交易所、登记结算公司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当任一类基金份额净值小数点后</w:t>
      </w:r>
      <w:r>
        <w:rPr>
          <w:rFonts w:ascii="彩虹粗仿宋" w:eastAsia="彩虹粗仿宋" w:hAnsi="宋体" w:cs="Arial"/>
          <w:sz w:val="24"/>
        </w:rPr>
        <w:t>4</w:t>
      </w:r>
      <w:r>
        <w:rPr>
          <w:rFonts w:ascii="彩虹粗仿宋" w:eastAsia="彩虹粗仿宋" w:hAnsi="宋体" w:cs="Arial" w:hint="eastAsia"/>
          <w:sz w:val="24"/>
        </w:rPr>
        <w:t>位以内</w:t>
      </w:r>
      <w:r>
        <w:rPr>
          <w:rFonts w:ascii="彩虹粗仿宋" w:eastAsia="彩虹粗仿宋" w:hAnsi="宋体" w:cs="Arial"/>
          <w:sz w:val="24"/>
        </w:rPr>
        <w:t>(</w:t>
      </w:r>
      <w:r>
        <w:rPr>
          <w:rFonts w:ascii="彩虹粗仿宋" w:eastAsia="彩虹粗仿宋" w:hAnsi="宋体" w:cs="Arial" w:hint="eastAsia"/>
          <w:sz w:val="24"/>
        </w:rPr>
        <w:t>含第</w:t>
      </w:r>
      <w:r>
        <w:rPr>
          <w:rFonts w:ascii="彩虹粗仿宋" w:eastAsia="彩虹粗仿宋" w:hAnsi="宋体" w:cs="Arial"/>
          <w:sz w:val="24"/>
        </w:rPr>
        <w:t>4</w:t>
      </w:r>
      <w:r>
        <w:rPr>
          <w:rFonts w:ascii="彩虹粗仿宋" w:eastAsia="彩虹粗仿宋" w:hAnsi="宋体" w:cs="Arial" w:hint="eastAsia"/>
          <w:sz w:val="24"/>
        </w:rPr>
        <w:t>位</w:t>
      </w:r>
      <w:r>
        <w:rPr>
          <w:rFonts w:ascii="彩虹粗仿宋" w:eastAsia="彩虹粗仿宋" w:hAnsi="宋体" w:cs="Arial"/>
          <w:sz w:val="24"/>
        </w:rPr>
        <w:t>)</w:t>
      </w:r>
      <w:r>
        <w:rPr>
          <w:rFonts w:ascii="彩虹粗仿宋" w:eastAsia="彩虹粗仿宋" w:hAnsi="宋体" w:cs="Arial" w:hint="eastAsia"/>
          <w:sz w:val="24"/>
        </w:rPr>
        <w:t>发生差错时，视为该类基金份额净值错误；基金份额净值出现错误时，基金管理人应当立即予以纠正，通报基金托管人，并采取合理的措施防止损失进一步扩大；错误偏差达到该类基金份额净值的</w:t>
      </w:r>
      <w:r>
        <w:rPr>
          <w:rFonts w:ascii="彩虹粗仿宋" w:eastAsia="彩虹粗仿宋" w:hAnsi="宋体" w:cs="Arial"/>
          <w:sz w:val="24"/>
        </w:rPr>
        <w:t>0.25%</w:t>
      </w:r>
      <w:r>
        <w:rPr>
          <w:rFonts w:ascii="彩虹粗仿宋" w:eastAsia="彩虹粗仿宋" w:hAnsi="宋体" w:cs="Arial" w:hint="eastAsia"/>
          <w:sz w:val="24"/>
        </w:rPr>
        <w:t>时，基金管理人应当通报基金托管人并报中国证监会备案；错误偏差达到该类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(4)由于基金管理人提供的信息错误（包括但不限于基金申购或赎回金额等），进而导致基金份额净值计算错误而引起的基金份额持有人和基金财产的损失，由基金管理人负责赔付。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基金所投资的目标 ETF 发生暂停估值、暂停公告基金份额净值的情形；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4、当前一估值日基金资产净值50%以上的资产出现无可参考的活跃市场价格且采用估值技术仍导致公允价值存在重大不确定性时，经与基金托管人协商一致的，基金管理人应当暂停基金估值；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5.中国证监会和《基金合同》认定的其他情形。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（五）基金会计制度</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（六）基金账册的建立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(2)报表的复核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10476F" w:rsidRDefault="00BA69D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10476F" w:rsidRDefault="0010476F">
      <w:pPr>
        <w:pStyle w:val="a0"/>
        <w:adjustRightInd w:val="0"/>
        <w:snapToGrid w:val="0"/>
        <w:ind w:firstLineChars="0" w:firstLine="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92" w:name="_Toc124325893"/>
      <w:r>
        <w:rPr>
          <w:rFonts w:ascii="彩虹粗仿宋" w:eastAsia="彩虹粗仿宋" w:hint="eastAsia"/>
          <w:sz w:val="30"/>
        </w:rPr>
        <w:t>九、基金收益分配</w:t>
      </w:r>
      <w:bookmarkEnd w:id="92"/>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收益分配方式分为两种：现金分红与红利再投资，投资者可选择现金红利或将现金红利按照除权除息日的该类别基金份额净值自动转为相应类别基金份额进行再投资；若投资者不选择，本基金默认的收益分配方式是现金分红；</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2.基金收益分配后各类基金份额净值不能低于面值；即基金收益分配基准日的各类基金份额净值减去每单位该类基金份额收益分配金额后不能低于面值；</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 本基金各基金份额类别在费用收取上不同，其对应的可分配收益可能有所不同</w:t>
      </w:r>
      <w:r>
        <w:rPr>
          <w:rFonts w:ascii="彩虹粗仿宋" w:eastAsia="彩虹粗仿宋" w:hAnsi="宋体" w:cs="Arial"/>
          <w:sz w:val="24"/>
        </w:rPr>
        <w:t>；</w:t>
      </w:r>
      <w:r>
        <w:rPr>
          <w:rFonts w:ascii="彩虹粗仿宋" w:eastAsia="彩虹粗仿宋" w:hAnsi="宋体" w:cs="Arial" w:hint="eastAsia"/>
          <w:sz w:val="24"/>
        </w:rPr>
        <w:t xml:space="preserve">本基金同一类别的每一基金份额享有同等分配权； </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4.法律法规或监管机构另有规定的，从其规定。</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本基金收益分配方案由基金管理人拟订，并由基金托管人复核，在2个工作日内在指定媒体公告并报中国证监会备案。</w:t>
      </w:r>
      <w:r>
        <w:rPr>
          <w:rFonts w:ascii="彩虹粗仿宋" w:eastAsia="彩虹粗仿宋" w:hint="eastAsia"/>
          <w:sz w:val="24"/>
        </w:rPr>
        <w:t>基金红利发放日距离收益分配基准日（即可供分配利润计算截止日）的时间不得超过15个工作日。</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93" w:name="_Toc124325894"/>
      <w:r>
        <w:rPr>
          <w:rFonts w:ascii="彩虹粗仿宋" w:eastAsia="彩虹粗仿宋" w:hint="eastAsia"/>
          <w:sz w:val="30"/>
        </w:rPr>
        <w:t>十、基金信息披露</w:t>
      </w:r>
      <w:bookmarkEnd w:id="93"/>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基金管理人和基金托管人应积极配合、互相监督，保证其履行按照法定方式和限时披露的义务。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媒介或基金托管人的互联网网站公开披露。</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 (1)基金投资所涉及的证券、期货交易市场遇法定节假日或因其他原因暂停营业时；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0476F" w:rsidRDefault="0010476F">
      <w:pPr>
        <w:pStyle w:val="a0"/>
        <w:ind w:firstLineChars="0" w:firstLine="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94" w:name="_Toc124325895"/>
      <w:r>
        <w:rPr>
          <w:rFonts w:ascii="彩虹粗仿宋" w:eastAsia="彩虹粗仿宋" w:hint="eastAsia"/>
          <w:sz w:val="30"/>
        </w:rPr>
        <w:t>十一、基金费用</w:t>
      </w:r>
      <w:bookmarkEnd w:id="94"/>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本基金的管理费按前一日基金资产净值的0.50%年费率计提。管理费的计算方法如下：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E为调整后的前一日基金资产净值。调整后的前一日基金资产净值＝前一日基金资产净值－本基金持有的华泰柏瑞MSCI中国</w:t>
      </w:r>
      <w:r>
        <w:rPr>
          <w:rFonts w:ascii="彩虹粗仿宋" w:eastAsia="彩虹粗仿宋" w:hAnsi="宋体" w:cs="Arial"/>
          <w:sz w:val="24"/>
        </w:rPr>
        <w:t>A股国际通</w:t>
      </w:r>
      <w:r>
        <w:rPr>
          <w:rFonts w:ascii="彩虹粗仿宋" w:eastAsia="彩虹粗仿宋" w:hAnsi="宋体" w:cs="Arial" w:hint="eastAsia"/>
          <w:sz w:val="24"/>
        </w:rPr>
        <w:t>ETF前一日公允价值，金额为负时以零计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（二）基金托管费的计提比例和计提方法</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本基金的托管费按前一日基金资产净值的0.10%年费率计提。托管费的计算方法如下：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w:t>
      </w:r>
      <w:r>
        <w:rPr>
          <w:rFonts w:ascii="彩虹粗仿宋" w:eastAsia="彩虹粗仿宋" w:hAnsi="宋体" w:cs="Arial"/>
          <w:sz w:val="24"/>
        </w:rPr>
        <w:t>调整后的前一日基金资产净值。调整后的前一日基金资产净值＝前一日基金资产净值－本基金持有的华泰柏瑞MSCI</w:t>
      </w:r>
      <w:r>
        <w:rPr>
          <w:rFonts w:ascii="彩虹粗仿宋" w:eastAsia="彩虹粗仿宋" w:hAnsi="宋体" w:cs="Arial" w:hint="eastAsia"/>
          <w:sz w:val="24"/>
        </w:rPr>
        <w:t>中国</w:t>
      </w:r>
      <w:r>
        <w:rPr>
          <w:rFonts w:ascii="彩虹粗仿宋" w:eastAsia="彩虹粗仿宋" w:hAnsi="宋体" w:cs="Arial"/>
          <w:sz w:val="24"/>
        </w:rPr>
        <w:t>A股国际通ETF前一日公允价值，金额为负时以零计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（三）销售服务费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本基金A类基金份额不收取销售服务费，C类基金份额的销售服务费年费率为0.25%。销售服务费主要用于本基金持续销售以及基金份额持有人服务等各项费用。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在通常情况下，C类基金份额销售服务费按前一日C类基金份额资产净值的0.25%年费率计提。C类基金份额的销售服务费计提的计算公式如下：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H=E×年销售服务费率÷当年天数</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H为每日应计提的C类基金份额销售服务费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E为前一日的C类基金份额的基金资产净值</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账户开户费用、投资标的交易费用、基金财产划拨支付的银行费用、账户维护费、《基金合同》生效后与基金相关的信息披露费用、基金份额持有人大会费用、《基金合同》生效后与基金有关的会计师费、律师费、仲裁费和诉讼费等根据有关法律法规、《基金合同》及相应协议的规定，列入当期基金费用。</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本基金终止清算时所发生费用，按实际支出额从基金财产总值中扣除。</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下列费用不列入基金费用：</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1、基金管理人和基金托管人因未履行或未完全履行义务导致的费用支出或基金财产的损失；</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2、基金管理人和基金托管人处理与基金运作无关的事项发生的费用；</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3、基金合同生效前的相关费用；</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4、其他根据相关法律法规及中国证监会的有关规定不得列入基金费用的项目。</w:t>
      </w:r>
      <w:bookmarkStart w:id="95" w:name="_Hlt88827255"/>
      <w:bookmarkEnd w:id="95"/>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2.支付方式和时间</w:t>
      </w:r>
    </w:p>
    <w:p w:rsidR="00C01703" w:rsidRDefault="00BA69DA">
      <w:pPr>
        <w:adjustRightInd w:val="0"/>
        <w:snapToGrid w:val="0"/>
        <w:ind w:firstLineChars="200" w:firstLine="480"/>
        <w:rPr>
          <w:rFonts w:ascii="彩虹粗仿宋" w:eastAsia="彩虹粗仿宋" w:hAnsi="宋体" w:cs="Arial"/>
          <w:sz w:val="24"/>
          <w:shd w:val="clear" w:color="FFFFFF" w:fill="D9D9D9"/>
        </w:rPr>
      </w:pPr>
      <w:r>
        <w:rPr>
          <w:rFonts w:ascii="彩虹粗仿宋" w:eastAsia="彩虹粗仿宋" w:hAnsi="宋体" w:cs="Arial" w:hint="eastAsia"/>
          <w:sz w:val="24"/>
        </w:rPr>
        <w:t>基金管理费、基金托管费、销售服务费每日计提，按月支付。由基金托管人根据与基金管理人核对一致的财务数据</w:t>
      </w:r>
      <w:r w:rsidRPr="00C01703">
        <w:rPr>
          <w:rFonts w:ascii="彩虹粗仿宋" w:eastAsia="彩虹粗仿宋" w:hAnsi="宋体" w:cs="Arial" w:hint="eastAsia"/>
          <w:sz w:val="24"/>
        </w:rPr>
        <w:t>，</w:t>
      </w:r>
      <w:r w:rsidR="0010476F" w:rsidRPr="00C01703">
        <w:rPr>
          <w:rFonts w:ascii="彩虹粗仿宋" w:eastAsia="彩虹粗仿宋" w:hAnsi="宋体" w:cs="Arial" w:hint="eastAsia"/>
          <w:sz w:val="24"/>
        </w:rPr>
        <w:t>自动在月初</w:t>
      </w:r>
      <w:r w:rsidR="004B2FAB">
        <w:rPr>
          <w:rFonts w:ascii="彩虹粗仿宋" w:eastAsia="彩虹粗仿宋" w:hAnsi="宋体" w:cs="Arial"/>
          <w:sz w:val="24"/>
        </w:rPr>
        <w:t>5个工作日内、按照指定的账户路径进行资金支付</w:t>
      </w:r>
      <w:r w:rsidR="004B2FAB">
        <w:rPr>
          <w:rFonts w:ascii="彩虹粗仿宋" w:eastAsia="彩虹粗仿宋" w:hAnsi="宋体" w:cs="Arial" w:hint="eastAsia"/>
          <w:sz w:val="24"/>
        </w:rPr>
        <w:t>，基金管理</w:t>
      </w:r>
      <w:r w:rsidRPr="00C01703">
        <w:rPr>
          <w:rFonts w:ascii="彩虹粗仿宋" w:eastAsia="彩虹粗仿宋" w:hAnsi="宋体" w:cs="Arial" w:hint="eastAsia"/>
          <w:sz w:val="24"/>
        </w:rPr>
        <w:t>人无需</w:t>
      </w:r>
      <w:r>
        <w:rPr>
          <w:rFonts w:ascii="彩虹粗仿宋" w:eastAsia="彩虹粗仿宋" w:hAnsi="宋体" w:cs="Arial" w:hint="eastAsia"/>
          <w:sz w:val="24"/>
        </w:rPr>
        <w:t>再出具资金划拨指令。若遇法定节假日、休息日等，支付日期顺延。费用自动扣划后，基金管理人应进行核对，如发现数据不符，及时联系基金托管人协商解决。</w:t>
      </w:r>
      <w:bookmarkStart w:id="96" w:name="_GoBack"/>
      <w:bookmarkEnd w:id="96"/>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97" w:name="_Toc124325896"/>
      <w:r>
        <w:rPr>
          <w:rFonts w:ascii="彩虹粗仿宋" w:eastAsia="彩虹粗仿宋" w:hint="eastAsia"/>
          <w:sz w:val="30"/>
        </w:rPr>
        <w:t>十二、基金份额持有人名册的保管</w:t>
      </w:r>
      <w:bookmarkEnd w:id="97"/>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法律法规另有规定或有权机关另有要求的除外。如不能妥善保管，则按相关法规承担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98" w:name="_Toc124325897"/>
      <w:r>
        <w:rPr>
          <w:rFonts w:ascii="彩虹粗仿宋" w:eastAsia="彩虹粗仿宋" w:hint="eastAsia"/>
          <w:sz w:val="30"/>
        </w:rPr>
        <w:t>十三、基金有关文件档案的保存</w:t>
      </w:r>
      <w:bookmarkEnd w:id="98"/>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w:t>
      </w:r>
      <w:r>
        <w:rPr>
          <w:rFonts w:ascii="彩虹粗仿宋" w:eastAsia="彩虹粗仿宋" w:hAnsi="宋体" w:cs="Arial" w:hint="eastAsia"/>
          <w:sz w:val="24"/>
        </w:rPr>
        <w:lastRenderedPageBreak/>
        <w:t>法规另有规定或有权机关另有要求的除外。</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10476F" w:rsidRDefault="00BA69DA">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（四）基金管理人和基金托管人应按各自职责完整保存原始凭证、记账凭证、基金账册、交易记录和重要合同等，承担保密义务并保存至少十五年以上，法律法规另有规定或有权机关另有要求的除外。</w:t>
      </w:r>
    </w:p>
    <w:p w:rsidR="0010476F" w:rsidRDefault="0010476F">
      <w:pPr>
        <w:adjustRightInd w:val="0"/>
        <w:snapToGrid w:val="0"/>
        <w:rPr>
          <w:rFonts w:ascii="彩虹粗仿宋" w:eastAsia="彩虹粗仿宋"/>
          <w:sz w:val="30"/>
          <w:szCs w:val="30"/>
        </w:rPr>
      </w:pPr>
    </w:p>
    <w:p w:rsidR="0010476F" w:rsidRDefault="00BA69DA">
      <w:pPr>
        <w:pStyle w:val="2"/>
        <w:jc w:val="center"/>
        <w:rPr>
          <w:rFonts w:ascii="彩虹粗仿宋" w:eastAsia="彩虹粗仿宋"/>
          <w:sz w:val="30"/>
        </w:rPr>
      </w:pPr>
      <w:bookmarkStart w:id="99" w:name="_Toc124325898"/>
      <w:r>
        <w:rPr>
          <w:rFonts w:ascii="彩虹粗仿宋" w:eastAsia="彩虹粗仿宋" w:hint="eastAsia"/>
          <w:sz w:val="30"/>
        </w:rPr>
        <w:t>十四、基金管理人和基金托管人的更换</w:t>
      </w:r>
      <w:bookmarkEnd w:id="99"/>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 被基金份额持有人大会解任；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依法解散、被依法撤销或被依法宣告破产；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(4)备案：基金份额持有人大会选任基金管理人的决议须报中国证监会备案；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w:t>
      </w:r>
      <w:r>
        <w:rPr>
          <w:rFonts w:ascii="彩虹粗仿宋" w:eastAsia="彩虹粗仿宋" w:hAnsi="宋体" w:cs="Arial" w:hint="eastAsia"/>
          <w:sz w:val="24"/>
        </w:rPr>
        <w:lastRenderedPageBreak/>
        <w:t>有人大会决议生效后2个工作日内在指定媒介公告；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10476F" w:rsidRDefault="00BA69DA">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(4)备案：基金份额持有人大会选任基金托管人的决议须报中国证监会备案；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w:t>
      </w:r>
      <w:r>
        <w:rPr>
          <w:rFonts w:ascii="彩虹粗仿宋" w:eastAsia="彩虹粗仿宋" w:hAnsi="宋体" w:cs="Arial" w:hint="eastAsia"/>
          <w:sz w:val="24"/>
        </w:rPr>
        <w:lastRenderedPageBreak/>
        <w:t>对基金财产进行审计，并将审计结果予以公告，同时报中国证监会备案，审计费用从基金财产中列支。</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0476F" w:rsidRDefault="0010476F">
      <w:pPr>
        <w:adjustRightInd w:val="0"/>
        <w:snapToGrid w:val="0"/>
        <w:ind w:firstLineChars="200" w:firstLine="480"/>
        <w:rPr>
          <w:rFonts w:ascii="彩虹粗仿宋" w:eastAsia="彩虹粗仿宋" w:hAnsi="宋体" w:cs="Arial"/>
          <w:sz w:val="24"/>
        </w:rPr>
      </w:pP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100" w:name="_Toc124325899"/>
      <w:r>
        <w:rPr>
          <w:rFonts w:ascii="彩虹粗仿宋" w:eastAsia="彩虹粗仿宋" w:hint="eastAsia"/>
          <w:sz w:val="30"/>
        </w:rPr>
        <w:t>十五、禁止行为</w:t>
      </w:r>
      <w:bookmarkEnd w:id="100"/>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（七）基金管理人、基金托管人在行政上、财务上不独立, 其高级管理人员和其他从业人员相互兼职。</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（八）基金管理人、基金托管人侵占、挪用基金财产。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（九）基金管理人、基金托管人泄露因职务便利获取的未公开信息、利用该信息从事或者明示、暗示他人从事相关的交易活动。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（十）基金管理人、基金托管人玩忽职守，不按照规定履行职责。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（十一）基金托管人私自动用或处分基金财产，根据基金管理人的合法指令、《基金合同》或托管协议的规定进行处分的除外。</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二）基金财产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上述禁止行为是基于《基金合同》生效时法律法规而约定，如法律法规或监管部门取消上述限制，如适用于本基金，则本基金投资不再受相关限制；基金管理人应提前三个交易日公告，此调整无需召开基金份额持有人大会。</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（十三）法律法规和《基金合同》禁止的其他行为，以及依照法律、行政法规有关规定，由中国证监会规定禁止基金管理人、基金托管人从事的其他行为。</w:t>
      </w:r>
    </w:p>
    <w:p w:rsidR="0010476F" w:rsidRDefault="0010476F">
      <w:pPr>
        <w:adjustRightInd w:val="0"/>
        <w:snapToGrid w:val="0"/>
        <w:rPr>
          <w:rFonts w:ascii="彩虹粗仿宋" w:eastAsia="彩虹粗仿宋"/>
          <w:sz w:val="30"/>
          <w:szCs w:val="30"/>
        </w:rPr>
      </w:pPr>
    </w:p>
    <w:p w:rsidR="0010476F" w:rsidRDefault="00BA69DA">
      <w:pPr>
        <w:pStyle w:val="2"/>
        <w:jc w:val="center"/>
        <w:rPr>
          <w:rFonts w:ascii="彩虹粗仿宋" w:eastAsia="彩虹粗仿宋"/>
          <w:sz w:val="30"/>
        </w:rPr>
      </w:pPr>
      <w:bookmarkStart w:id="101" w:name="_Toc124325900"/>
      <w:r>
        <w:rPr>
          <w:rFonts w:ascii="彩虹粗仿宋" w:eastAsia="彩虹粗仿宋" w:hint="eastAsia"/>
          <w:sz w:val="30"/>
        </w:rPr>
        <w:t>十六、托管协议的变更、终止与基金财产的清算</w:t>
      </w:r>
      <w:bookmarkEnd w:id="101"/>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10476F" w:rsidRDefault="00BA69DA">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w:t>
      </w:r>
      <w:r>
        <w:rPr>
          <w:rFonts w:ascii="彩虹粗仿宋" w:eastAsia="彩虹粗仿宋" w:hAnsi="宋体" w:cs="Arial" w:hint="eastAsia"/>
          <w:sz w:val="24"/>
        </w:rPr>
        <w:lastRenderedPageBreak/>
        <w:t>金清算。</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102" w:name="_Toc124325901"/>
      <w:r>
        <w:rPr>
          <w:rFonts w:ascii="彩虹粗仿宋" w:eastAsia="彩虹粗仿宋" w:hint="eastAsia"/>
          <w:sz w:val="30"/>
        </w:rPr>
        <w:lastRenderedPageBreak/>
        <w:t>十七、违约责任</w:t>
      </w:r>
      <w:bookmarkEnd w:id="102"/>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3.基金管理人由于按照《基金合同》规定投资或不投资造成的损失等。</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r>
        <w:rPr>
          <w:rFonts w:ascii="彩虹粗仿宋" w:eastAsia="彩虹粗仿宋" w:hAnsi="宋体" w:cs="Arial"/>
          <w:sz w:val="24"/>
        </w:rPr>
        <w:t>在发生一方或多方违约的情况下，在最大限度地保护基金份额持有人利益的前提下，基金合同能够继续履行的应当继续履行。非违约方</w:t>
      </w:r>
      <w:r>
        <w:rPr>
          <w:rFonts w:ascii="彩虹粗仿宋" w:eastAsia="彩虹粗仿宋" w:hAnsi="宋体" w:cs="Arial" w:hint="eastAsia"/>
          <w:sz w:val="24"/>
        </w:rPr>
        <w:t>当事人在职责范围内有义务及时采取必要的措施，防止损失的扩大。没有采取适当措施致使损失进一步扩大的，不得就扩大的损失要求赔偿。非违约方因防止损失扩大而支出的合理费用由违约方承担。</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10476F" w:rsidRDefault="00BA69D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0476F" w:rsidRDefault="0010476F">
      <w:pPr>
        <w:adjustRightInd w:val="0"/>
        <w:snapToGrid w:val="0"/>
        <w:outlineLvl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103" w:name="_Toc124325902"/>
      <w:r>
        <w:rPr>
          <w:rFonts w:ascii="彩虹粗仿宋" w:eastAsia="彩虹粗仿宋" w:hint="eastAsia"/>
          <w:sz w:val="30"/>
        </w:rPr>
        <w:t>十八、争议解决方式</w:t>
      </w:r>
      <w:bookmarkEnd w:id="103"/>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各方当事人同意，</w:t>
      </w:r>
      <w:r>
        <w:rPr>
          <w:rFonts w:ascii="彩虹粗仿宋" w:eastAsia="彩虹粗仿宋" w:hAnsi="宋体" w:cs="Arial" w:hint="eastAsia"/>
          <w:sz w:val="24"/>
        </w:rPr>
        <w:t>因本协议产生或与之相关的争议，</w:t>
      </w:r>
      <w:r>
        <w:rPr>
          <w:rFonts w:ascii="彩虹粗仿宋" w:eastAsia="彩虹粗仿宋" w:hAnsi="宋体" w:cs="Arial"/>
          <w:sz w:val="24"/>
        </w:rPr>
        <w:t>如经</w:t>
      </w:r>
      <w:r>
        <w:rPr>
          <w:rFonts w:ascii="彩虹粗仿宋" w:eastAsia="彩虹粗仿宋" w:hAnsi="宋体" w:cs="Arial" w:hint="eastAsia"/>
          <w:sz w:val="24"/>
        </w:rPr>
        <w:t>一方书面提出协商</w:t>
      </w:r>
      <w:r>
        <w:rPr>
          <w:rFonts w:ascii="彩虹粗仿宋" w:eastAsia="彩虹粗仿宋" w:hAnsi="宋体" w:cs="Arial" w:hint="eastAsia"/>
          <w:sz w:val="24"/>
        </w:rPr>
        <w:lastRenderedPageBreak/>
        <w:t>解决争议之日起60日内争议未能以协商方式解决的，</w:t>
      </w:r>
      <w:r>
        <w:rPr>
          <w:rFonts w:ascii="彩虹粗仿宋" w:eastAsia="彩虹粗仿宋" w:hAnsi="宋体" w:cs="Arial"/>
          <w:sz w:val="24"/>
        </w:rPr>
        <w:t>应</w:t>
      </w:r>
      <w:r>
        <w:rPr>
          <w:rFonts w:ascii="彩虹粗仿宋" w:eastAsia="彩虹粗仿宋" w:hAnsi="宋体" w:cs="Arial" w:hint="eastAsia"/>
          <w:sz w:val="24"/>
        </w:rPr>
        <w:t>提交中国国际经济贸易仲裁委员会按照当时有效的仲裁规则进行仲裁，仲裁地点为北京市。仲裁裁决是终局的，对仲裁各方当事人均具有约束力。仲裁费和律师费由败诉方承担。</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争议处理期间，各方当事人应恪守各自的职责，继续忠实、勤勉、尽责地履行《基金合同》和本托管协议规定的义务，维护基金份额持有人的合法权益。</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104" w:name="_Toc124325903"/>
      <w:r>
        <w:rPr>
          <w:rFonts w:ascii="彩虹粗仿宋" w:eastAsia="彩虹粗仿宋" w:hint="eastAsia"/>
          <w:sz w:val="30"/>
        </w:rPr>
        <w:t>十九、托管协议的效力</w:t>
      </w:r>
      <w:bookmarkEnd w:id="104"/>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10476F" w:rsidRDefault="00BA69DA">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10476F" w:rsidRDefault="0010476F">
      <w:pPr>
        <w:adjustRightInd w:val="0"/>
        <w:snapToGrid w:val="0"/>
        <w:rPr>
          <w:rFonts w:ascii="彩虹粗仿宋" w:eastAsia="彩虹粗仿宋" w:hAnsi="宋体" w:cs="Arial"/>
          <w:sz w:val="24"/>
        </w:rPr>
      </w:pPr>
    </w:p>
    <w:p w:rsidR="0010476F" w:rsidRDefault="00BA69DA">
      <w:pPr>
        <w:pStyle w:val="2"/>
        <w:jc w:val="center"/>
        <w:rPr>
          <w:rFonts w:ascii="彩虹粗仿宋" w:eastAsia="彩虹粗仿宋"/>
          <w:sz w:val="30"/>
        </w:rPr>
      </w:pPr>
      <w:bookmarkStart w:id="105" w:name="_Toc124325904"/>
      <w:r>
        <w:rPr>
          <w:rFonts w:ascii="彩虹粗仿宋" w:eastAsia="彩虹粗仿宋" w:hint="eastAsia"/>
          <w:sz w:val="30"/>
        </w:rPr>
        <w:t>二十、其他事项</w:t>
      </w:r>
      <w:bookmarkEnd w:id="105"/>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10476F" w:rsidRDefault="0010476F">
      <w:pPr>
        <w:adjustRightInd w:val="0"/>
        <w:snapToGrid w:val="0"/>
        <w:rPr>
          <w:rFonts w:ascii="彩虹粗仿宋" w:eastAsia="彩虹粗仿宋"/>
          <w:b/>
          <w:bCs/>
        </w:rPr>
      </w:pPr>
    </w:p>
    <w:p w:rsidR="0010476F" w:rsidRDefault="00BA69DA">
      <w:pPr>
        <w:pStyle w:val="2"/>
        <w:jc w:val="center"/>
        <w:rPr>
          <w:rFonts w:ascii="彩虹粗仿宋" w:eastAsia="彩虹粗仿宋"/>
          <w:sz w:val="30"/>
        </w:rPr>
      </w:pPr>
      <w:bookmarkStart w:id="106" w:name="_Toc124325905"/>
      <w:r>
        <w:rPr>
          <w:rFonts w:ascii="彩虹粗仿宋" w:eastAsia="彩虹粗仿宋" w:hint="eastAsia"/>
          <w:sz w:val="30"/>
        </w:rPr>
        <w:t>二十一、托管协议的签订</w:t>
      </w:r>
      <w:bookmarkEnd w:id="106"/>
    </w:p>
    <w:p w:rsidR="0010476F" w:rsidRDefault="00BA69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10476F" w:rsidRDefault="0010476F">
      <w:pPr>
        <w:adjustRightInd w:val="0"/>
        <w:snapToGrid w:val="0"/>
        <w:ind w:firstLineChars="200" w:firstLine="480"/>
        <w:rPr>
          <w:rFonts w:ascii="彩虹粗仿宋" w:eastAsia="彩虹粗仿宋" w:hAnsi="宋体" w:cs="Arial"/>
          <w:sz w:val="24"/>
        </w:rPr>
        <w:sectPr w:rsidR="0010476F">
          <w:headerReference w:type="default" r:id="rId7"/>
          <w:type w:val="continuous"/>
          <w:pgSz w:w="11906" w:h="16838"/>
          <w:pgMar w:top="1418" w:right="1701" w:bottom="1418" w:left="1701" w:header="851" w:footer="992" w:gutter="0"/>
          <w:cols w:space="720"/>
          <w:docGrid w:type="lines" w:linePitch="312"/>
        </w:sectPr>
      </w:pPr>
    </w:p>
    <w:p w:rsidR="0010476F" w:rsidRDefault="00BA69DA">
      <w:pPr>
        <w:spacing w:line="360" w:lineRule="auto"/>
        <w:ind w:right="26"/>
        <w:rPr>
          <w:rFonts w:ascii="彩虹粗仿宋" w:eastAsia="彩虹粗仿宋"/>
          <w:sz w:val="24"/>
        </w:rPr>
      </w:pPr>
      <w:r>
        <w:rPr>
          <w:rFonts w:ascii="彩虹粗仿宋" w:eastAsia="彩虹粗仿宋" w:hint="eastAsia"/>
          <w:sz w:val="24"/>
        </w:rPr>
        <w:lastRenderedPageBreak/>
        <w:t>本页无正文，为《华泰柏瑞</w:t>
      </w:r>
      <w:r>
        <w:rPr>
          <w:rFonts w:ascii="彩虹粗仿宋" w:eastAsia="彩虹粗仿宋"/>
          <w:sz w:val="24"/>
        </w:rPr>
        <w:t>MSCI中国A股国际通交易型开放式指数证券投资基金联接基金</w:t>
      </w:r>
      <w:r>
        <w:rPr>
          <w:rFonts w:ascii="彩虹粗仿宋" w:eastAsia="彩虹粗仿宋" w:hint="eastAsia"/>
          <w:sz w:val="24"/>
        </w:rPr>
        <w:t>托管协议》的签字盖章页。</w:t>
      </w:r>
    </w:p>
    <w:p w:rsidR="0010476F" w:rsidRDefault="0010476F">
      <w:pPr>
        <w:spacing w:line="360" w:lineRule="auto"/>
        <w:rPr>
          <w:rFonts w:ascii="彩虹粗仿宋" w:eastAsia="彩虹粗仿宋"/>
          <w:sz w:val="24"/>
        </w:rPr>
      </w:pPr>
    </w:p>
    <w:p w:rsidR="0010476F" w:rsidRDefault="0010476F">
      <w:pPr>
        <w:spacing w:line="360" w:lineRule="auto"/>
        <w:rPr>
          <w:rFonts w:ascii="彩虹粗仿宋" w:eastAsia="彩虹粗仿宋"/>
          <w:sz w:val="24"/>
        </w:rPr>
      </w:pPr>
    </w:p>
    <w:p w:rsidR="0010476F" w:rsidRDefault="00BA69DA">
      <w:pPr>
        <w:spacing w:line="360" w:lineRule="auto"/>
        <w:ind w:right="26"/>
        <w:rPr>
          <w:rFonts w:ascii="彩虹粗仿宋" w:eastAsia="彩虹粗仿宋"/>
          <w:sz w:val="24"/>
        </w:rPr>
      </w:pPr>
      <w:r>
        <w:rPr>
          <w:rFonts w:ascii="彩虹粗仿宋" w:eastAsia="彩虹粗仿宋" w:hint="eastAsia"/>
          <w:sz w:val="24"/>
        </w:rPr>
        <w:t>基金管理人：华泰柏瑞基金管理有限公司（盖章）</w:t>
      </w: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BA69DA">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BA69DA">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10476F" w:rsidRDefault="0010476F">
      <w:pPr>
        <w:spacing w:line="360" w:lineRule="auto"/>
        <w:ind w:right="26"/>
        <w:rPr>
          <w:rFonts w:ascii="彩虹粗仿宋" w:eastAsia="彩虹粗仿宋"/>
          <w:sz w:val="24"/>
        </w:rPr>
      </w:pPr>
    </w:p>
    <w:p w:rsidR="0010476F" w:rsidRDefault="0010476F">
      <w:pPr>
        <w:spacing w:line="360" w:lineRule="auto"/>
        <w:ind w:right="26"/>
        <w:rPr>
          <w:rFonts w:ascii="彩虹粗仿宋" w:eastAsia="彩虹粗仿宋"/>
          <w:sz w:val="24"/>
        </w:rPr>
      </w:pPr>
    </w:p>
    <w:p w:rsidR="0010476F" w:rsidRDefault="00BA69DA">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10476F" w:rsidRDefault="0010476F">
      <w:pPr>
        <w:spacing w:line="360" w:lineRule="auto"/>
        <w:ind w:right="26"/>
        <w:rPr>
          <w:rFonts w:ascii="彩虹粗仿宋" w:eastAsia="彩虹粗仿宋"/>
          <w:b/>
          <w:sz w:val="24"/>
          <w:szCs w:val="28"/>
        </w:rPr>
      </w:pPr>
    </w:p>
    <w:p w:rsidR="0010476F" w:rsidRDefault="0010476F">
      <w:pPr>
        <w:spacing w:line="360" w:lineRule="auto"/>
        <w:ind w:right="26"/>
        <w:rPr>
          <w:rFonts w:ascii="彩虹粗仿宋" w:eastAsia="彩虹粗仿宋"/>
          <w:b/>
          <w:sz w:val="24"/>
          <w:szCs w:val="28"/>
        </w:rPr>
      </w:pPr>
    </w:p>
    <w:p w:rsidR="0010476F" w:rsidRDefault="0010476F">
      <w:pPr>
        <w:spacing w:line="360" w:lineRule="auto"/>
        <w:ind w:right="26"/>
        <w:rPr>
          <w:rFonts w:ascii="彩虹粗仿宋" w:eastAsia="彩虹粗仿宋"/>
          <w:b/>
          <w:sz w:val="24"/>
          <w:szCs w:val="28"/>
        </w:rPr>
      </w:pPr>
    </w:p>
    <w:p w:rsidR="0010476F" w:rsidRDefault="00BA69DA">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10476F" w:rsidRDefault="00BA69DA">
      <w:r>
        <w:rPr>
          <w:rFonts w:ascii="彩虹粗仿宋" w:eastAsia="彩虹粗仿宋" w:hint="eastAsia"/>
          <w:b/>
          <w:sz w:val="24"/>
          <w:szCs w:val="28"/>
        </w:rPr>
        <w:t>签 订 日：二零一  年  月  日</w:t>
      </w:r>
    </w:p>
    <w:sectPr w:rsidR="0010476F" w:rsidSect="0010476F">
      <w:headerReference w:type="default" r:id="rId8"/>
      <w:footerReference w:type="default" r:id="rId9"/>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31B" w:rsidRDefault="0085431B" w:rsidP="0010476F">
      <w:r>
        <w:separator/>
      </w:r>
    </w:p>
  </w:endnote>
  <w:endnote w:type="continuationSeparator" w:id="1">
    <w:p w:rsidR="0085431B" w:rsidRDefault="0085431B" w:rsidP="001047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010" w:rsidRDefault="00E040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31B" w:rsidRDefault="0085431B" w:rsidP="0010476F">
      <w:r>
        <w:separator/>
      </w:r>
    </w:p>
  </w:footnote>
  <w:footnote w:type="continuationSeparator" w:id="1">
    <w:p w:rsidR="0085431B" w:rsidRDefault="0085431B" w:rsidP="00104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010" w:rsidRDefault="00E04010">
    <w:pPr>
      <w:pStyle w:val="a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010" w:rsidRDefault="00E04010">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ow">
    <w15:presenceInfo w15:providerId="None" w15:userId="maow"/>
  </w15:person>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43"/>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F25"/>
    <w:rsid w:val="000A274D"/>
    <w:rsid w:val="0010476F"/>
    <w:rsid w:val="0015698E"/>
    <w:rsid w:val="00164281"/>
    <w:rsid w:val="001A3716"/>
    <w:rsid w:val="00407FE4"/>
    <w:rsid w:val="00452C0C"/>
    <w:rsid w:val="004853DE"/>
    <w:rsid w:val="004B2FAB"/>
    <w:rsid w:val="00511315"/>
    <w:rsid w:val="00533F25"/>
    <w:rsid w:val="0054747B"/>
    <w:rsid w:val="00723569"/>
    <w:rsid w:val="00812557"/>
    <w:rsid w:val="00830F2C"/>
    <w:rsid w:val="0084717A"/>
    <w:rsid w:val="0085431B"/>
    <w:rsid w:val="00894F94"/>
    <w:rsid w:val="00A76EDB"/>
    <w:rsid w:val="00AA4078"/>
    <w:rsid w:val="00BA69DA"/>
    <w:rsid w:val="00BE773D"/>
    <w:rsid w:val="00C01703"/>
    <w:rsid w:val="00CF0630"/>
    <w:rsid w:val="00D11F4E"/>
    <w:rsid w:val="00D2742A"/>
    <w:rsid w:val="00DC74B5"/>
    <w:rsid w:val="00DD548B"/>
    <w:rsid w:val="00DE558F"/>
    <w:rsid w:val="00E04010"/>
    <w:rsid w:val="00EB44A1"/>
    <w:rsid w:val="00ED6CDD"/>
    <w:rsid w:val="00F95441"/>
    <w:rsid w:val="3FB56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lsdException w:name="toc 8" w:uiPriority="0" w:unhideWhenUsed="0" w:qFormat="1"/>
    <w:lsdException w:name="toc 9" w:uiPriority="0" w:unhideWhenUsed="0" w:qFormat="1"/>
    <w:lsdException w:name="Normal Indent" w:semiHidden="0" w:uiPriority="0" w:unhideWhenUsed="0" w:qFormat="1"/>
    <w:lsdException w:name="annotation text" w:uiPriority="0" w:unhideWhenUsed="0" w:qFormat="1"/>
    <w:lsdException w:name="header" w:semiHidden="0"/>
    <w:lsdException w:name="footer" w:semiHidden="0" w:qFormat="1"/>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qFormat="1"/>
    <w:lsdException w:name="Normal Table" w:qFormat="1"/>
    <w:lsdException w:name="annotation subject" w:semiHidden="0" w:uiPriority="0" w:unhideWhenUsed="0"/>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76F"/>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rsid w:val="0010476F"/>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0476F"/>
    <w:pPr>
      <w:ind w:firstLineChars="200" w:firstLine="420"/>
    </w:pPr>
  </w:style>
  <w:style w:type="paragraph" w:styleId="a4">
    <w:name w:val="annotation subject"/>
    <w:basedOn w:val="a5"/>
    <w:next w:val="a5"/>
    <w:link w:val="Char1"/>
    <w:rsid w:val="0010476F"/>
    <w:rPr>
      <w:b/>
      <w:bCs/>
    </w:rPr>
  </w:style>
  <w:style w:type="paragraph" w:styleId="a5">
    <w:name w:val="annotation text"/>
    <w:basedOn w:val="a"/>
    <w:link w:val="Char10"/>
    <w:semiHidden/>
    <w:qFormat/>
    <w:rsid w:val="0010476F"/>
    <w:pPr>
      <w:jc w:val="left"/>
    </w:pPr>
  </w:style>
  <w:style w:type="paragraph" w:styleId="7">
    <w:name w:val="toc 7"/>
    <w:basedOn w:val="a"/>
    <w:next w:val="a"/>
    <w:semiHidden/>
    <w:rsid w:val="0010476F"/>
    <w:pPr>
      <w:ind w:leftChars="1200" w:left="2520"/>
    </w:pPr>
  </w:style>
  <w:style w:type="paragraph" w:styleId="a6">
    <w:name w:val="Body Text"/>
    <w:basedOn w:val="a"/>
    <w:link w:val="Char11"/>
    <w:qFormat/>
    <w:rsid w:val="0010476F"/>
    <w:pPr>
      <w:spacing w:line="360" w:lineRule="auto"/>
    </w:pPr>
    <w:rPr>
      <w:rFonts w:ascii="仿宋_GB2312" w:eastAsia="仿宋_GB2312"/>
      <w:color w:val="000000"/>
      <w:kern w:val="0"/>
      <w:sz w:val="24"/>
      <w:szCs w:val="28"/>
    </w:rPr>
  </w:style>
  <w:style w:type="paragraph" w:styleId="a7">
    <w:name w:val="Body Text Indent"/>
    <w:basedOn w:val="a"/>
    <w:link w:val="Char12"/>
    <w:rsid w:val="0010476F"/>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rsid w:val="0010476F"/>
    <w:pPr>
      <w:ind w:leftChars="800" w:left="1680"/>
    </w:pPr>
  </w:style>
  <w:style w:type="paragraph" w:styleId="3">
    <w:name w:val="toc 3"/>
    <w:basedOn w:val="a"/>
    <w:next w:val="a"/>
    <w:semiHidden/>
    <w:qFormat/>
    <w:rsid w:val="0010476F"/>
    <w:pPr>
      <w:ind w:leftChars="400" w:left="840"/>
    </w:pPr>
  </w:style>
  <w:style w:type="paragraph" w:styleId="8">
    <w:name w:val="toc 8"/>
    <w:basedOn w:val="a"/>
    <w:next w:val="a"/>
    <w:semiHidden/>
    <w:qFormat/>
    <w:rsid w:val="0010476F"/>
    <w:pPr>
      <w:ind w:leftChars="1400" w:left="2940"/>
    </w:pPr>
  </w:style>
  <w:style w:type="paragraph" w:styleId="20">
    <w:name w:val="Body Text Indent 2"/>
    <w:basedOn w:val="a"/>
    <w:link w:val="2Char1"/>
    <w:qFormat/>
    <w:rsid w:val="0010476F"/>
    <w:pPr>
      <w:spacing w:line="360" w:lineRule="auto"/>
      <w:ind w:firstLine="525"/>
    </w:pPr>
    <w:rPr>
      <w:rFonts w:ascii="宋体" w:hAnsi="宋体"/>
      <w:sz w:val="28"/>
      <w:szCs w:val="20"/>
    </w:rPr>
  </w:style>
  <w:style w:type="paragraph" w:styleId="a8">
    <w:name w:val="Balloon Text"/>
    <w:basedOn w:val="a"/>
    <w:link w:val="Char13"/>
    <w:semiHidden/>
    <w:qFormat/>
    <w:rsid w:val="0010476F"/>
    <w:rPr>
      <w:sz w:val="18"/>
      <w:szCs w:val="18"/>
    </w:rPr>
  </w:style>
  <w:style w:type="paragraph" w:styleId="a9">
    <w:name w:val="footer"/>
    <w:basedOn w:val="a"/>
    <w:link w:val="Char14"/>
    <w:uiPriority w:val="99"/>
    <w:unhideWhenUsed/>
    <w:qFormat/>
    <w:rsid w:val="0010476F"/>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15"/>
    <w:uiPriority w:val="99"/>
    <w:unhideWhenUsed/>
    <w:rsid w:val="00104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rsid w:val="0010476F"/>
  </w:style>
  <w:style w:type="paragraph" w:styleId="4">
    <w:name w:val="toc 4"/>
    <w:basedOn w:val="a"/>
    <w:next w:val="a"/>
    <w:semiHidden/>
    <w:qFormat/>
    <w:rsid w:val="0010476F"/>
    <w:pPr>
      <w:ind w:leftChars="600" w:left="1260"/>
    </w:pPr>
  </w:style>
  <w:style w:type="paragraph" w:styleId="6">
    <w:name w:val="toc 6"/>
    <w:basedOn w:val="a"/>
    <w:next w:val="a"/>
    <w:semiHidden/>
    <w:qFormat/>
    <w:rsid w:val="0010476F"/>
    <w:pPr>
      <w:ind w:leftChars="1000" w:left="2100"/>
    </w:pPr>
  </w:style>
  <w:style w:type="paragraph" w:styleId="30">
    <w:name w:val="Body Text Indent 3"/>
    <w:basedOn w:val="a"/>
    <w:link w:val="3Char1"/>
    <w:qFormat/>
    <w:rsid w:val="0010476F"/>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rsid w:val="0010476F"/>
    <w:pPr>
      <w:ind w:leftChars="200" w:left="420"/>
    </w:pPr>
  </w:style>
  <w:style w:type="paragraph" w:styleId="9">
    <w:name w:val="toc 9"/>
    <w:basedOn w:val="a"/>
    <w:next w:val="a"/>
    <w:semiHidden/>
    <w:qFormat/>
    <w:rsid w:val="0010476F"/>
    <w:pPr>
      <w:ind w:leftChars="1600" w:left="3360"/>
    </w:pPr>
  </w:style>
  <w:style w:type="paragraph" w:styleId="HTML">
    <w:name w:val="HTML Preformatted"/>
    <w:basedOn w:val="a"/>
    <w:link w:val="HTMLChar1"/>
    <w:uiPriority w:val="99"/>
    <w:unhideWhenUsed/>
    <w:qFormat/>
    <w:rsid w:val="001047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rsid w:val="0010476F"/>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sid w:val="0010476F"/>
    <w:rPr>
      <w:b/>
      <w:bCs/>
    </w:rPr>
  </w:style>
  <w:style w:type="character" w:styleId="ad">
    <w:name w:val="page number"/>
    <w:basedOn w:val="a1"/>
    <w:rsid w:val="0010476F"/>
  </w:style>
  <w:style w:type="character" w:styleId="ae">
    <w:name w:val="FollowedHyperlink"/>
    <w:uiPriority w:val="99"/>
    <w:unhideWhenUsed/>
    <w:rsid w:val="0010476F"/>
    <w:rPr>
      <w:color w:val="800080"/>
      <w:u w:val="single"/>
    </w:rPr>
  </w:style>
  <w:style w:type="character" w:styleId="af">
    <w:name w:val="Hyperlink"/>
    <w:qFormat/>
    <w:rsid w:val="0010476F"/>
    <w:rPr>
      <w:color w:val="0000FF"/>
      <w:u w:val="single"/>
    </w:rPr>
  </w:style>
  <w:style w:type="character" w:styleId="af0">
    <w:name w:val="annotation reference"/>
    <w:semiHidden/>
    <w:rsid w:val="0010476F"/>
    <w:rPr>
      <w:sz w:val="21"/>
      <w:szCs w:val="21"/>
    </w:rPr>
  </w:style>
  <w:style w:type="character" w:customStyle="1" w:styleId="2Char">
    <w:name w:val="标题 2 Char"/>
    <w:basedOn w:val="a1"/>
    <w:link w:val="2"/>
    <w:rsid w:val="0010476F"/>
    <w:rPr>
      <w:rFonts w:ascii="Arial" w:eastAsia="黑体" w:hAnsi="Arial" w:cs="Times New Roman"/>
      <w:b/>
      <w:kern w:val="0"/>
      <w:sz w:val="32"/>
      <w:szCs w:val="20"/>
    </w:rPr>
  </w:style>
  <w:style w:type="character" w:customStyle="1" w:styleId="Char">
    <w:name w:val="批注主题 Char"/>
    <w:link w:val="a4"/>
    <w:qFormat/>
    <w:rsid w:val="0010476F"/>
    <w:rPr>
      <w:rFonts w:ascii="Times New Roman" w:eastAsia="宋体" w:hAnsi="Times New Roman" w:cs="Times New Roman"/>
      <w:b/>
      <w:bCs/>
      <w:szCs w:val="24"/>
    </w:rPr>
  </w:style>
  <w:style w:type="character" w:customStyle="1" w:styleId="2Char0">
    <w:name w:val="正文文本缩进 2 Char"/>
    <w:link w:val="20"/>
    <w:rsid w:val="0010476F"/>
    <w:rPr>
      <w:rFonts w:ascii="宋体" w:eastAsia="宋体" w:hAnsi="宋体" w:cs="Times New Roman"/>
      <w:sz w:val="28"/>
      <w:szCs w:val="20"/>
    </w:rPr>
  </w:style>
  <w:style w:type="character" w:customStyle="1" w:styleId="HTMLChar">
    <w:name w:val="HTML 预设格式 Char"/>
    <w:link w:val="HTML"/>
    <w:uiPriority w:val="99"/>
    <w:qFormat/>
    <w:rsid w:val="0010476F"/>
    <w:rPr>
      <w:rFonts w:ascii="宋体" w:eastAsia="宋体" w:hAnsi="宋体" w:cs="宋体"/>
      <w:kern w:val="0"/>
      <w:sz w:val="24"/>
      <w:szCs w:val="24"/>
    </w:rPr>
  </w:style>
  <w:style w:type="character" w:customStyle="1" w:styleId="Char0">
    <w:name w:val="批注框文本 Char"/>
    <w:link w:val="a8"/>
    <w:semiHidden/>
    <w:rsid w:val="0010476F"/>
    <w:rPr>
      <w:rFonts w:ascii="Times New Roman" w:eastAsia="宋体" w:hAnsi="Times New Roman" w:cs="Times New Roman"/>
      <w:sz w:val="18"/>
      <w:szCs w:val="18"/>
    </w:rPr>
  </w:style>
  <w:style w:type="character" w:customStyle="1" w:styleId="Char2">
    <w:name w:val="批注文字 Char"/>
    <w:link w:val="a5"/>
    <w:semiHidden/>
    <w:rsid w:val="0010476F"/>
    <w:rPr>
      <w:rFonts w:ascii="Times New Roman" w:eastAsia="宋体" w:hAnsi="Times New Roman" w:cs="Times New Roman"/>
      <w:szCs w:val="24"/>
    </w:rPr>
  </w:style>
  <w:style w:type="character" w:customStyle="1" w:styleId="3Char">
    <w:name w:val="正文文本缩进 3 Char"/>
    <w:link w:val="30"/>
    <w:qFormat/>
    <w:rsid w:val="0010476F"/>
    <w:rPr>
      <w:rFonts w:ascii="仿宋_GB2312" w:eastAsia="仿宋_GB2312" w:hAnsi="宋体" w:cs="Arial"/>
      <w:color w:val="000000"/>
      <w:sz w:val="24"/>
      <w:szCs w:val="24"/>
    </w:rPr>
  </w:style>
  <w:style w:type="character" w:customStyle="1" w:styleId="Char3">
    <w:name w:val="页眉 Char"/>
    <w:link w:val="aa"/>
    <w:uiPriority w:val="99"/>
    <w:qFormat/>
    <w:rsid w:val="0010476F"/>
    <w:rPr>
      <w:sz w:val="18"/>
      <w:szCs w:val="18"/>
    </w:rPr>
  </w:style>
  <w:style w:type="character" w:customStyle="1" w:styleId="Char4">
    <w:name w:val="页脚 Char"/>
    <w:link w:val="a9"/>
    <w:uiPriority w:val="99"/>
    <w:qFormat/>
    <w:rsid w:val="0010476F"/>
    <w:rPr>
      <w:sz w:val="18"/>
      <w:szCs w:val="18"/>
    </w:rPr>
  </w:style>
  <w:style w:type="character" w:customStyle="1" w:styleId="Char5">
    <w:name w:val="正文文本缩进 Char"/>
    <w:link w:val="a7"/>
    <w:qFormat/>
    <w:rsid w:val="0010476F"/>
    <w:rPr>
      <w:rFonts w:ascii="Times New Roman" w:eastAsia="方正仿宋简体" w:hAnsi="Times New Roman" w:cs="Times New Roman"/>
      <w:sz w:val="24"/>
      <w:szCs w:val="30"/>
    </w:rPr>
  </w:style>
  <w:style w:type="character" w:customStyle="1" w:styleId="read">
    <w:name w:val="read"/>
    <w:basedOn w:val="a1"/>
    <w:qFormat/>
    <w:rsid w:val="0010476F"/>
  </w:style>
  <w:style w:type="character" w:customStyle="1" w:styleId="Char6">
    <w:name w:val="正文文本 Char"/>
    <w:link w:val="a6"/>
    <w:rsid w:val="0010476F"/>
    <w:rPr>
      <w:rFonts w:ascii="仿宋_GB2312" w:eastAsia="仿宋_GB2312" w:hAnsi="Times New Roman" w:cs="Times New Roman"/>
      <w:color w:val="000000"/>
      <w:kern w:val="0"/>
      <w:sz w:val="24"/>
      <w:szCs w:val="28"/>
    </w:rPr>
  </w:style>
  <w:style w:type="character" w:customStyle="1" w:styleId="Char12">
    <w:name w:val="正文文本缩进 Char1"/>
    <w:basedOn w:val="a1"/>
    <w:link w:val="a7"/>
    <w:uiPriority w:val="99"/>
    <w:semiHidden/>
    <w:rsid w:val="0010476F"/>
    <w:rPr>
      <w:rFonts w:ascii="Times New Roman" w:eastAsia="宋体" w:hAnsi="Times New Roman" w:cs="Times New Roman"/>
      <w:szCs w:val="24"/>
    </w:rPr>
  </w:style>
  <w:style w:type="character" w:customStyle="1" w:styleId="Char10">
    <w:name w:val="批注文字 Char1"/>
    <w:basedOn w:val="a1"/>
    <w:link w:val="a5"/>
    <w:uiPriority w:val="99"/>
    <w:semiHidden/>
    <w:qFormat/>
    <w:rsid w:val="0010476F"/>
    <w:rPr>
      <w:rFonts w:ascii="Times New Roman" w:eastAsia="宋体" w:hAnsi="Times New Roman" w:cs="Times New Roman"/>
      <w:szCs w:val="24"/>
    </w:rPr>
  </w:style>
  <w:style w:type="character" w:customStyle="1" w:styleId="Char11">
    <w:name w:val="正文文本 Char1"/>
    <w:basedOn w:val="a1"/>
    <w:link w:val="a6"/>
    <w:uiPriority w:val="99"/>
    <w:semiHidden/>
    <w:qFormat/>
    <w:rsid w:val="0010476F"/>
    <w:rPr>
      <w:rFonts w:ascii="Times New Roman" w:eastAsia="宋体" w:hAnsi="Times New Roman" w:cs="Times New Roman"/>
      <w:szCs w:val="24"/>
    </w:rPr>
  </w:style>
  <w:style w:type="character" w:customStyle="1" w:styleId="Char1">
    <w:name w:val="批注主题 Char1"/>
    <w:basedOn w:val="Char10"/>
    <w:link w:val="a4"/>
    <w:uiPriority w:val="99"/>
    <w:semiHidden/>
    <w:qFormat/>
    <w:rsid w:val="0010476F"/>
    <w:rPr>
      <w:b/>
      <w:bCs/>
    </w:rPr>
  </w:style>
  <w:style w:type="character" w:customStyle="1" w:styleId="HTMLChar1">
    <w:name w:val="HTML 预设格式 Char1"/>
    <w:basedOn w:val="a1"/>
    <w:link w:val="HTML"/>
    <w:uiPriority w:val="99"/>
    <w:semiHidden/>
    <w:qFormat/>
    <w:rsid w:val="0010476F"/>
    <w:rPr>
      <w:rFonts w:ascii="Courier New" w:eastAsia="宋体" w:hAnsi="Courier New" w:cs="Courier New"/>
      <w:sz w:val="20"/>
      <w:szCs w:val="20"/>
    </w:rPr>
  </w:style>
  <w:style w:type="character" w:customStyle="1" w:styleId="Char13">
    <w:name w:val="批注框文本 Char1"/>
    <w:basedOn w:val="a1"/>
    <w:link w:val="a8"/>
    <w:uiPriority w:val="99"/>
    <w:semiHidden/>
    <w:rsid w:val="0010476F"/>
    <w:rPr>
      <w:rFonts w:ascii="Times New Roman" w:eastAsia="宋体" w:hAnsi="Times New Roman" w:cs="Times New Roman"/>
      <w:sz w:val="18"/>
      <w:szCs w:val="18"/>
    </w:rPr>
  </w:style>
  <w:style w:type="character" w:customStyle="1" w:styleId="2Char1">
    <w:name w:val="正文文本缩进 2 Char1"/>
    <w:basedOn w:val="a1"/>
    <w:link w:val="20"/>
    <w:uiPriority w:val="99"/>
    <w:semiHidden/>
    <w:rsid w:val="0010476F"/>
    <w:rPr>
      <w:rFonts w:ascii="Times New Roman" w:eastAsia="宋体" w:hAnsi="Times New Roman" w:cs="Times New Roman"/>
      <w:szCs w:val="24"/>
    </w:rPr>
  </w:style>
  <w:style w:type="character" w:customStyle="1" w:styleId="Char14">
    <w:name w:val="页脚 Char1"/>
    <w:basedOn w:val="a1"/>
    <w:link w:val="a9"/>
    <w:uiPriority w:val="99"/>
    <w:semiHidden/>
    <w:qFormat/>
    <w:rsid w:val="0010476F"/>
    <w:rPr>
      <w:rFonts w:ascii="Times New Roman" w:eastAsia="宋体" w:hAnsi="Times New Roman" w:cs="Times New Roman"/>
      <w:sz w:val="18"/>
      <w:szCs w:val="18"/>
    </w:rPr>
  </w:style>
  <w:style w:type="character" w:customStyle="1" w:styleId="3Char1">
    <w:name w:val="正文文本缩进 3 Char1"/>
    <w:basedOn w:val="a1"/>
    <w:link w:val="30"/>
    <w:uiPriority w:val="99"/>
    <w:semiHidden/>
    <w:rsid w:val="0010476F"/>
    <w:rPr>
      <w:rFonts w:ascii="Times New Roman" w:eastAsia="宋体" w:hAnsi="Times New Roman" w:cs="Times New Roman"/>
      <w:sz w:val="16"/>
      <w:szCs w:val="16"/>
    </w:rPr>
  </w:style>
  <w:style w:type="character" w:customStyle="1" w:styleId="Char15">
    <w:name w:val="页眉 Char1"/>
    <w:basedOn w:val="a1"/>
    <w:link w:val="aa"/>
    <w:uiPriority w:val="99"/>
    <w:semiHidden/>
    <w:qFormat/>
    <w:rsid w:val="0010476F"/>
    <w:rPr>
      <w:rFonts w:ascii="Times New Roman" w:eastAsia="宋体" w:hAnsi="Times New Roman" w:cs="Times New Roman"/>
      <w:sz w:val="18"/>
      <w:szCs w:val="18"/>
    </w:rPr>
  </w:style>
  <w:style w:type="paragraph" w:customStyle="1" w:styleId="Char7">
    <w:name w:val="Char"/>
    <w:basedOn w:val="a"/>
    <w:rsid w:val="0010476F"/>
  </w:style>
  <w:style w:type="paragraph" w:customStyle="1" w:styleId="wz1">
    <w:name w:val="wz1"/>
    <w:basedOn w:val="a"/>
    <w:qFormat/>
    <w:rsid w:val="0010476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6">
    <w:name w:val="Char1"/>
    <w:basedOn w:val="a"/>
    <w:rsid w:val="0010476F"/>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rsid w:val="0010476F"/>
  </w:style>
  <w:style w:type="paragraph" w:customStyle="1" w:styleId="10">
    <w:name w:val="修订1"/>
    <w:uiPriority w:val="99"/>
    <w:semiHidden/>
    <w:qFormat/>
    <w:rsid w:val="0010476F"/>
    <w:rPr>
      <w:rFonts w:ascii="Times New Roman" w:eastAsia="宋体" w:hAnsi="Times New Roman" w:cs="Times New Roman"/>
      <w:kern w:val="2"/>
      <w:sz w:val="21"/>
      <w:szCs w:val="24"/>
    </w:rPr>
  </w:style>
  <w:style w:type="paragraph" w:customStyle="1" w:styleId="CharCharCharCharCharCharChar1CharCharCharCharCharChar">
    <w:name w:val="Char Char Char Char Char Char Char1 Char Char Char Char Char Char"/>
    <w:basedOn w:val="a"/>
    <w:qFormat/>
    <w:rsid w:val="0010476F"/>
  </w:style>
  <w:style w:type="paragraph" w:customStyle="1" w:styleId="CharChar">
    <w:name w:val="Char Char"/>
    <w:basedOn w:val="a"/>
    <w:rsid w:val="0010476F"/>
    <w:rPr>
      <w:szCs w:val="20"/>
    </w:rPr>
  </w:style>
  <w:style w:type="paragraph" w:styleId="af1">
    <w:name w:val="Revision"/>
    <w:hidden/>
    <w:uiPriority w:val="99"/>
    <w:unhideWhenUsed/>
    <w:rsid w:val="00407FE4"/>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4643</Words>
  <Characters>26467</Characters>
  <Application>Microsoft Office Word</Application>
  <DocSecurity>0</DocSecurity>
  <Lines>220</Lines>
  <Paragraphs>62</Paragraphs>
  <ScaleCrop>false</ScaleCrop>
  <Company/>
  <LinksUpToDate>false</LinksUpToDate>
  <CharactersWithSpaces>31048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maow</dc:creator>
  <cp:lastModifiedBy>maow0730</cp:lastModifiedBy>
  <cp:revision>11</cp:revision>
  <cp:lastPrinted>2018-04-04T05:30:00Z</cp:lastPrinted>
  <dcterms:created xsi:type="dcterms:W3CDTF">2018-01-09T02:17:00Z</dcterms:created>
  <dcterms:modified xsi:type="dcterms:W3CDTF">2018-08-02T08:45:00Z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