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7D" w:rsidRPr="0087107D" w:rsidRDefault="0087107D" w:rsidP="0087107D">
      <w:pPr>
        <w:pStyle w:val="Default"/>
        <w:spacing w:after="4287" w:line="858" w:lineRule="atLeast"/>
        <w:jc w:val="center"/>
        <w:rPr>
          <w:b/>
          <w:sz w:val="44"/>
          <w:szCs w:val="44"/>
        </w:rPr>
      </w:pPr>
    </w:p>
    <w:p w:rsidR="007F4B33" w:rsidRDefault="0087107D" w:rsidP="007F4B33">
      <w:pPr>
        <w:pStyle w:val="Default"/>
        <w:spacing w:line="858" w:lineRule="atLeast"/>
        <w:jc w:val="center"/>
        <w:rPr>
          <w:b/>
          <w:sz w:val="44"/>
          <w:szCs w:val="44"/>
        </w:rPr>
      </w:pPr>
      <w:r w:rsidRPr="0087107D">
        <w:rPr>
          <w:rFonts w:hint="eastAsia"/>
          <w:b/>
          <w:sz w:val="44"/>
          <w:szCs w:val="44"/>
        </w:rPr>
        <w:t>华夏可转债增强债券型证券投资基金</w:t>
      </w:r>
    </w:p>
    <w:p w:rsidR="0087107D" w:rsidRPr="0087107D" w:rsidRDefault="0087107D">
      <w:pPr>
        <w:pStyle w:val="Default"/>
        <w:spacing w:after="4287" w:line="858" w:lineRule="atLeast"/>
        <w:jc w:val="center"/>
        <w:rPr>
          <w:rFonts w:ascii="Times New Roman" w:hAnsi="Times New Roman" w:cs="Times New Roman"/>
          <w:b/>
          <w:sz w:val="44"/>
          <w:szCs w:val="44"/>
        </w:rPr>
      </w:pPr>
      <w:r w:rsidRPr="0087107D">
        <w:rPr>
          <w:rFonts w:hint="eastAsia"/>
          <w:b/>
          <w:sz w:val="44"/>
          <w:szCs w:val="44"/>
        </w:rPr>
        <w:t>托管协议</w:t>
      </w:r>
    </w:p>
    <w:p w:rsidR="0087107D" w:rsidRPr="004073BF" w:rsidRDefault="00FA0B7E" w:rsidP="00A75C6D">
      <w:pPr>
        <w:pStyle w:val="Default"/>
        <w:spacing w:line="546" w:lineRule="atLeast"/>
        <w:ind w:left="720" w:right="687" w:firstLine="720"/>
        <w:rPr>
          <w:rFonts w:hAnsi="Times New Roman"/>
          <w:sz w:val="32"/>
          <w:szCs w:val="32"/>
        </w:rPr>
      </w:pPr>
      <w:r w:rsidRPr="00FA0B7E">
        <w:rPr>
          <w:rFonts w:hAnsi="Times New Roman" w:hint="eastAsia"/>
          <w:sz w:val="32"/>
          <w:szCs w:val="32"/>
        </w:rPr>
        <w:t>基金管理人：华夏基金管理有限公司</w:t>
      </w:r>
    </w:p>
    <w:p w:rsidR="0087107D" w:rsidRPr="0087107D" w:rsidRDefault="00FA0B7E" w:rsidP="00A75C6D">
      <w:pPr>
        <w:pStyle w:val="Default"/>
        <w:spacing w:line="546" w:lineRule="atLeast"/>
        <w:ind w:left="720" w:right="687" w:firstLine="720"/>
        <w:rPr>
          <w:rFonts w:hAnsi="Times New Roman"/>
          <w:b/>
          <w:sz w:val="28"/>
          <w:szCs w:val="28"/>
        </w:rPr>
      </w:pPr>
      <w:r w:rsidRPr="00FA0B7E">
        <w:rPr>
          <w:rFonts w:hAnsi="Times New Roman" w:hint="eastAsia"/>
          <w:sz w:val="32"/>
          <w:szCs w:val="32"/>
        </w:rPr>
        <w:t>基金托管人：中国建设银行股份有限公司</w:t>
      </w:r>
    </w:p>
    <w:p w:rsidR="0087107D" w:rsidRDefault="0087107D" w:rsidP="00602714">
      <w:pPr>
        <w:pStyle w:val="CM2"/>
        <w:pageBreakBefore/>
        <w:ind w:firstLine="480"/>
        <w:jc w:val="center"/>
        <w:rPr>
          <w:rFonts w:hAnsi="Times New Roman" w:cs="宋体"/>
          <w:color w:val="000000"/>
          <w:sz w:val="23"/>
          <w:szCs w:val="23"/>
        </w:rPr>
        <w:sectPr w:rsidR="0087107D" w:rsidSect="00556122">
          <w:headerReference w:type="even" r:id="rId8"/>
          <w:headerReference w:type="default" r:id="rId9"/>
          <w:footerReference w:type="even" r:id="rId10"/>
          <w:footerReference w:type="default" r:id="rId11"/>
          <w:headerReference w:type="first" r:id="rId12"/>
          <w:footerReference w:type="first" r:id="rId13"/>
          <w:pgSz w:w="11904" w:h="17340"/>
          <w:pgMar w:top="1440" w:right="1800" w:bottom="1440" w:left="1800" w:header="720" w:footer="720" w:gutter="0"/>
          <w:cols w:space="720"/>
          <w:noEndnote/>
          <w:titlePg/>
          <w:docGrid w:linePitch="286"/>
        </w:sectPr>
      </w:pPr>
    </w:p>
    <w:p w:rsidR="00FA0B7E" w:rsidRDefault="0087107D" w:rsidP="00FA1F0E">
      <w:pPr>
        <w:pStyle w:val="CM2"/>
        <w:pageBreakBefore/>
        <w:spacing w:beforeLines="50" w:afterLines="50" w:line="360" w:lineRule="auto"/>
        <w:jc w:val="center"/>
        <w:rPr>
          <w:rFonts w:hAnsi="Times New Roman" w:cs="宋体"/>
          <w:b/>
          <w:color w:val="000000"/>
          <w:sz w:val="23"/>
          <w:szCs w:val="23"/>
        </w:rPr>
      </w:pPr>
      <w:r w:rsidRPr="0073020E">
        <w:rPr>
          <w:rFonts w:hAnsi="Times New Roman" w:cs="宋体" w:hint="eastAsia"/>
          <w:b/>
          <w:color w:val="000000"/>
          <w:sz w:val="23"/>
          <w:szCs w:val="23"/>
        </w:rPr>
        <w:lastRenderedPageBreak/>
        <w:t>目</w:t>
      </w:r>
      <w:r w:rsidR="0073020E">
        <w:rPr>
          <w:rFonts w:hAnsi="Times New Roman" w:cs="宋体"/>
          <w:b/>
          <w:color w:val="000000"/>
          <w:sz w:val="23"/>
          <w:szCs w:val="23"/>
        </w:rPr>
        <w:t xml:space="preserve"> </w:t>
      </w:r>
      <w:r w:rsidRPr="0073020E">
        <w:rPr>
          <w:rFonts w:hAnsi="Times New Roman" w:cs="宋体" w:hint="eastAsia"/>
          <w:b/>
          <w:color w:val="000000"/>
          <w:sz w:val="23"/>
          <w:szCs w:val="23"/>
        </w:rPr>
        <w:t>录</w:t>
      </w:r>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r w:rsidRPr="0073020E">
        <w:rPr>
          <w:sz w:val="23"/>
          <w:szCs w:val="23"/>
        </w:rPr>
        <w:fldChar w:fldCharType="begin"/>
      </w:r>
      <w:r w:rsidR="0073020E" w:rsidRPr="0073020E">
        <w:rPr>
          <w:sz w:val="23"/>
          <w:szCs w:val="23"/>
        </w:rPr>
        <w:instrText xml:space="preserve"> TOC \o "1-3" \h \z \u </w:instrText>
      </w:r>
      <w:r w:rsidRPr="0073020E">
        <w:rPr>
          <w:sz w:val="23"/>
          <w:szCs w:val="23"/>
        </w:rPr>
        <w:fldChar w:fldCharType="separate"/>
      </w:r>
      <w:hyperlink w:anchor="_Toc457223655" w:history="1">
        <w:r w:rsidR="00355567" w:rsidRPr="00355567">
          <w:rPr>
            <w:rStyle w:val="a6"/>
            <w:rFonts w:ascii="Times New Roman" w:hint="eastAsia"/>
            <w:noProof/>
          </w:rPr>
          <w:t>一、基金托管协议当事人</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_Toc457223655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1</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56" w:history="1">
        <w:r w:rsidR="00355567" w:rsidRPr="00355567">
          <w:rPr>
            <w:rStyle w:val="a6"/>
            <w:rFonts w:ascii="Times New Roman" w:hint="eastAsia"/>
            <w:noProof/>
          </w:rPr>
          <w:t>二、基金托管协议的依据、目的和原则</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_Toc457223656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57" w:history="1">
        <w:r w:rsidR="00355567" w:rsidRPr="00355567">
          <w:rPr>
            <w:rStyle w:val="a6"/>
            <w:rFonts w:ascii="Times New Roman" w:hint="eastAsia"/>
            <w:noProof/>
          </w:rPr>
          <w:t>三、基金托管人对基金管理人的业务监督和核查</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_Toc457223657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58" w:history="1">
        <w:r w:rsidR="00355567" w:rsidRPr="00355567">
          <w:rPr>
            <w:rStyle w:val="a6"/>
            <w:rFonts w:ascii="Times New Roman" w:hint="eastAsia"/>
            <w:noProof/>
          </w:rPr>
          <w:t>四、基金管理人对基金托管人的业务核查</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_Toc457223658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7</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59" w:history="1">
        <w:r w:rsidR="00355567" w:rsidRPr="00355567">
          <w:rPr>
            <w:rStyle w:val="a6"/>
            <w:rFonts w:ascii="Times New Roman" w:hint="eastAsia"/>
            <w:noProof/>
          </w:rPr>
          <w:t>五、基金财产的保管</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_Toc457223659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7</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60" w:history="1">
        <w:r w:rsidR="00355567" w:rsidRPr="00355567">
          <w:rPr>
            <w:rStyle w:val="a6"/>
            <w:rFonts w:ascii="Times New Roman" w:hint="eastAsia"/>
            <w:noProof/>
          </w:rPr>
          <w:t>六、指令的发送、确认及执行</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_Toc457223660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10</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61" w:history="1">
        <w:r w:rsidR="00355567" w:rsidRPr="00355567">
          <w:rPr>
            <w:rStyle w:val="a6"/>
            <w:rFonts w:ascii="Times New Roman" w:hint="eastAsia"/>
            <w:noProof/>
          </w:rPr>
          <w:t>七、交易及清算交收安排</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_Toc457223661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12</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62" w:history="1">
        <w:r w:rsidR="00355567" w:rsidRPr="00355567">
          <w:rPr>
            <w:rStyle w:val="a6"/>
            <w:rFonts w:ascii="Times New Roman" w:hint="eastAsia"/>
            <w:noProof/>
          </w:rPr>
          <w:t>八、基金资产净值计算和会计核算</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_Toc457223662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15</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63" w:history="1">
        <w:r w:rsidR="00355567" w:rsidRPr="00355567">
          <w:rPr>
            <w:rStyle w:val="a6"/>
            <w:rFonts w:ascii="Times New Roman" w:hint="eastAsia"/>
            <w:noProof/>
          </w:rPr>
          <w:t>九、基金收益分配</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_Toc457223663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19</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64" w:history="1">
        <w:r w:rsidR="00355567" w:rsidRPr="00355567">
          <w:rPr>
            <w:rStyle w:val="a6"/>
            <w:rFonts w:ascii="Times New Roman" w:hint="eastAsia"/>
            <w:noProof/>
          </w:rPr>
          <w:t>十、基金信息披露</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_Toc457223664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19</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65" w:history="1">
        <w:r w:rsidR="00355567" w:rsidRPr="00355567">
          <w:rPr>
            <w:rStyle w:val="a6"/>
            <w:rFonts w:ascii="Times New Roman" w:hint="eastAsia"/>
            <w:noProof/>
          </w:rPr>
          <w:t>十一、基金费用</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_Toc457223665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21</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66" w:history="1">
        <w:r w:rsidR="00355567" w:rsidRPr="00355567">
          <w:rPr>
            <w:rStyle w:val="a6"/>
            <w:rFonts w:ascii="Times New Roman" w:hint="eastAsia"/>
            <w:noProof/>
          </w:rPr>
          <w:t>十二、基金份额持有人名册的保管</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_Toc457223666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22</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67" w:history="1">
        <w:r w:rsidR="00355567" w:rsidRPr="00355567">
          <w:rPr>
            <w:rStyle w:val="a6"/>
            <w:rFonts w:ascii="Times New Roman" w:hint="eastAsia"/>
            <w:noProof/>
          </w:rPr>
          <w:t>十三、基金有关文件档案的保存</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_Toc457223667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22</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68" w:history="1">
        <w:r w:rsidR="00355567" w:rsidRPr="00355567">
          <w:rPr>
            <w:rStyle w:val="a6"/>
            <w:rFonts w:ascii="Times New Roman" w:hint="eastAsia"/>
            <w:noProof/>
          </w:rPr>
          <w:t>十四、基金管理人和基金托管人的更换</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_Toc457223668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23</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69" w:history="1">
        <w:r w:rsidR="00355567" w:rsidRPr="00355567">
          <w:rPr>
            <w:rStyle w:val="a6"/>
            <w:rFonts w:ascii="Times New Roman" w:hint="eastAsia"/>
            <w:noProof/>
          </w:rPr>
          <w:t>十五、禁止行为</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_Toc457223669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24</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70" w:history="1">
        <w:r w:rsidR="00355567" w:rsidRPr="00355567">
          <w:rPr>
            <w:rStyle w:val="a6"/>
            <w:rFonts w:ascii="Times New Roman" w:hint="eastAsia"/>
            <w:noProof/>
          </w:rPr>
          <w:t>十六、托管协议的变更、终止与基金财产的清算</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_Toc457223670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25</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71" w:history="1">
        <w:r w:rsidR="00355567" w:rsidRPr="00355567">
          <w:rPr>
            <w:rStyle w:val="a6"/>
            <w:rFonts w:ascii="Times New Roman" w:hint="eastAsia"/>
            <w:noProof/>
          </w:rPr>
          <w:t>十七、违约责任</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_Toc457223671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26</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72" w:history="1">
        <w:r w:rsidR="00355567" w:rsidRPr="00355567">
          <w:rPr>
            <w:rStyle w:val="a6"/>
            <w:rFonts w:ascii="Times New Roman" w:hint="eastAsia"/>
            <w:noProof/>
          </w:rPr>
          <w:t>十八、争议解决方式</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_Toc457223672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27</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73" w:history="1">
        <w:r w:rsidR="00355567" w:rsidRPr="00355567">
          <w:rPr>
            <w:rStyle w:val="a6"/>
            <w:rFonts w:ascii="Times New Roman" w:hint="eastAsia"/>
            <w:noProof/>
          </w:rPr>
          <w:t>十九、托管协议的效力</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_Toc457223673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27</w:t>
        </w:r>
        <w:r w:rsidRPr="00355567">
          <w:rPr>
            <w:rFonts w:ascii="Times New Roman" w:hAnsi="Times New Roman"/>
            <w:noProof/>
            <w:webHidden/>
          </w:rPr>
          <w:fldChar w:fldCharType="end"/>
        </w:r>
      </w:hyperlink>
    </w:p>
    <w:p w:rsidR="00A13884" w:rsidRPr="008F004E" w:rsidRDefault="00E77525" w:rsidP="008F004E">
      <w:pPr>
        <w:pStyle w:val="10"/>
        <w:tabs>
          <w:tab w:val="right" w:leader="dot" w:pos="8294"/>
        </w:tabs>
        <w:spacing w:line="360" w:lineRule="auto"/>
        <w:rPr>
          <w:rFonts w:ascii="Times New Roman" w:eastAsiaTheme="minorEastAsia" w:hAnsi="Times New Roman"/>
          <w:noProof/>
        </w:rPr>
      </w:pPr>
      <w:hyperlink w:anchor="_Toc457223674" w:history="1">
        <w:r w:rsidR="00355567" w:rsidRPr="00355567">
          <w:rPr>
            <w:rStyle w:val="a6"/>
            <w:rFonts w:ascii="Times New Roman" w:hint="eastAsia"/>
            <w:noProof/>
          </w:rPr>
          <w:t>二十、其他事项</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_Toc457223674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27</w:t>
        </w:r>
        <w:r w:rsidRPr="00355567">
          <w:rPr>
            <w:rFonts w:ascii="Times New Roman" w:hAnsi="Times New Roman"/>
            <w:noProof/>
            <w:webHidden/>
          </w:rPr>
          <w:fldChar w:fldCharType="end"/>
        </w:r>
      </w:hyperlink>
    </w:p>
    <w:p w:rsidR="00A13884" w:rsidRDefault="00E77525" w:rsidP="008F004E">
      <w:pPr>
        <w:pStyle w:val="10"/>
        <w:tabs>
          <w:tab w:val="right" w:leader="dot" w:pos="8294"/>
        </w:tabs>
        <w:spacing w:line="360" w:lineRule="auto"/>
        <w:rPr>
          <w:rFonts w:asciiTheme="minorHAnsi" w:eastAsiaTheme="minorEastAsia" w:hAnsiTheme="minorHAnsi" w:cstheme="minorBidi"/>
          <w:noProof/>
        </w:rPr>
      </w:pPr>
      <w:hyperlink w:anchor="_Toc457223675" w:history="1">
        <w:r w:rsidR="00355567" w:rsidRPr="00355567">
          <w:rPr>
            <w:rStyle w:val="a6"/>
            <w:rFonts w:ascii="Times New Roman" w:hint="eastAsia"/>
            <w:noProof/>
          </w:rPr>
          <w:t>二十一、托管协议的签订</w:t>
        </w:r>
        <w:r w:rsidR="00355567" w:rsidRPr="00355567">
          <w:rPr>
            <w:rFonts w:ascii="Times New Roman" w:hAnsi="Times New Roman"/>
            <w:noProof/>
            <w:webHidden/>
          </w:rPr>
          <w:tab/>
        </w:r>
        <w:r w:rsidRPr="00355567">
          <w:rPr>
            <w:rFonts w:ascii="Times New Roman" w:hAnsi="Times New Roman"/>
            <w:noProof/>
            <w:webHidden/>
          </w:rPr>
          <w:fldChar w:fldCharType="begin"/>
        </w:r>
        <w:r w:rsidR="00355567" w:rsidRPr="00355567">
          <w:rPr>
            <w:rFonts w:ascii="Times New Roman" w:hAnsi="Times New Roman"/>
            <w:noProof/>
            <w:webHidden/>
          </w:rPr>
          <w:instrText xml:space="preserve"> PAGEREF _Toc457223675 \h </w:instrText>
        </w:r>
        <w:r w:rsidRPr="00355567">
          <w:rPr>
            <w:rFonts w:ascii="Times New Roman" w:hAnsi="Times New Roman"/>
            <w:noProof/>
            <w:webHidden/>
          </w:rPr>
        </w:r>
        <w:r w:rsidRPr="00355567">
          <w:rPr>
            <w:rFonts w:ascii="Times New Roman" w:hAnsi="Times New Roman"/>
            <w:noProof/>
            <w:webHidden/>
          </w:rPr>
          <w:fldChar w:fldCharType="separate"/>
        </w:r>
        <w:r w:rsidR="00426BD1">
          <w:rPr>
            <w:rFonts w:ascii="Times New Roman" w:hAnsi="Times New Roman"/>
            <w:noProof/>
            <w:webHidden/>
          </w:rPr>
          <w:t>28</w:t>
        </w:r>
        <w:r w:rsidRPr="00355567">
          <w:rPr>
            <w:rFonts w:ascii="Times New Roman" w:hAnsi="Times New Roman"/>
            <w:noProof/>
            <w:webHidden/>
          </w:rPr>
          <w:fldChar w:fldCharType="end"/>
        </w:r>
      </w:hyperlink>
    </w:p>
    <w:p w:rsidR="0073020E" w:rsidRDefault="00E77525" w:rsidP="008F004E">
      <w:pPr>
        <w:spacing w:line="360" w:lineRule="auto"/>
      </w:pPr>
      <w:r w:rsidRPr="0073020E">
        <w:rPr>
          <w:sz w:val="23"/>
          <w:szCs w:val="23"/>
        </w:rPr>
        <w:fldChar w:fldCharType="end"/>
      </w:r>
    </w:p>
    <w:p w:rsidR="0087107D" w:rsidRDefault="0087107D">
      <w:pPr>
        <w:pStyle w:val="CM2"/>
        <w:pageBreakBefore/>
        <w:ind w:firstLine="480"/>
        <w:rPr>
          <w:rFonts w:hAnsi="Times New Roman" w:cs="宋体"/>
          <w:color w:val="000000"/>
          <w:sz w:val="23"/>
          <w:szCs w:val="23"/>
        </w:rPr>
        <w:sectPr w:rsidR="0087107D" w:rsidSect="00E026C9">
          <w:pgSz w:w="11904" w:h="17340"/>
          <w:pgMar w:top="1440" w:right="1800" w:bottom="1440" w:left="1800" w:header="720" w:footer="720" w:gutter="0"/>
          <w:pgNumType w:start="1"/>
          <w:cols w:space="720"/>
          <w:noEndnote/>
          <w:docGrid w:linePitch="286"/>
        </w:sectPr>
      </w:pP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lastRenderedPageBreak/>
        <w:t>鉴于华夏基金管理有限公司系一家依照中国法律合法成立并有效存续的有限责任公司，按照相关法律法规的规定具备担任基金管理人的资格和能力，拟募集发行华夏可转债增强债券型证券投资基金；</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鉴于中国建设银行股份有限公司系一家依照中国法律合法成立并有效存续的银行，按照相关法律法规的规定具备担任基金托管人的资格和能力；</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鉴于华夏基金管理有限公司拟担任华夏可转债增强债券型证券投资基金的基金管理人，中国建设银行股份有限公司拟担任华夏可转债增强债券型证券投资基金的基金托管人；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为明确华夏可转债增强债券型证券投资基金的基金管理人和基金托管人之间的权利义务关系，特制订本托管协议；</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除非另有约定，《华夏可转债增强债券型证券投资基金基金合同》（以下简称“基金合同”）中定义的术语在用于本托管协议时应具有相同的含义；若有抵触应以《基金合同》为准，并依其条款解释。</w:t>
      </w:r>
    </w:p>
    <w:p w:rsidR="0087107D" w:rsidRPr="00AB1F9E" w:rsidRDefault="00FA0B7E" w:rsidP="00AB1F9E">
      <w:pPr>
        <w:pStyle w:val="a5"/>
        <w:spacing w:after="240"/>
        <w:rPr>
          <w:sz w:val="21"/>
          <w:szCs w:val="21"/>
        </w:rPr>
      </w:pPr>
      <w:bookmarkStart w:id="0" w:name="_Toc457223655"/>
      <w:r w:rsidRPr="00FA0B7E">
        <w:rPr>
          <w:rFonts w:hint="eastAsia"/>
          <w:sz w:val="21"/>
          <w:szCs w:val="21"/>
        </w:rPr>
        <w:t>一、基金托管协议当事人</w:t>
      </w:r>
      <w:bookmarkEnd w:id="0"/>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（一）基金管理人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名称：华夏基金管理有限公司</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注册地址：北京市顺义区天竺空港工业区</w:t>
      </w:r>
      <w:r w:rsidRPr="00FA0B7E">
        <w:rPr>
          <w:rFonts w:ascii="Times New Roman" w:hAnsi="Times New Roman"/>
          <w:bCs/>
          <w:szCs w:val="21"/>
        </w:rPr>
        <w:t>A</w:t>
      </w:r>
      <w:r w:rsidRPr="00FA0B7E">
        <w:rPr>
          <w:rFonts w:ascii="Times New Roman" w:hAnsi="Times New Roman" w:hint="eastAsia"/>
          <w:bCs/>
          <w:szCs w:val="21"/>
        </w:rPr>
        <w:t>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办公地址：北京市西城区金融大街</w:t>
      </w:r>
      <w:r w:rsidRPr="00FA0B7E">
        <w:rPr>
          <w:rFonts w:ascii="Times New Roman" w:hAnsi="Times New Roman"/>
          <w:bCs/>
          <w:szCs w:val="21"/>
        </w:rPr>
        <w:t>33</w:t>
      </w:r>
      <w:r w:rsidRPr="00FA0B7E">
        <w:rPr>
          <w:rFonts w:ascii="Times New Roman" w:hAnsi="Times New Roman" w:hint="eastAsia"/>
          <w:bCs/>
          <w:szCs w:val="21"/>
        </w:rPr>
        <w:t>号通泰大厦</w:t>
      </w:r>
      <w:r w:rsidRPr="00FA0B7E">
        <w:rPr>
          <w:rFonts w:ascii="Times New Roman" w:hAnsi="Times New Roman"/>
          <w:bCs/>
          <w:szCs w:val="21"/>
        </w:rPr>
        <w:t>B</w:t>
      </w:r>
      <w:r w:rsidRPr="00FA0B7E">
        <w:rPr>
          <w:rFonts w:ascii="Times New Roman" w:hAnsi="Times New Roman" w:hint="eastAsia"/>
          <w:bCs/>
          <w:szCs w:val="21"/>
        </w:rPr>
        <w:t>座</w:t>
      </w:r>
      <w:r w:rsidRPr="00FA0B7E">
        <w:rPr>
          <w:rFonts w:ascii="Times New Roman" w:hAnsi="Times New Roman"/>
          <w:bCs/>
          <w:szCs w:val="21"/>
        </w:rPr>
        <w:t>8</w:t>
      </w:r>
      <w:r w:rsidRPr="00FA0B7E">
        <w:rPr>
          <w:rFonts w:ascii="Times New Roman" w:hAnsi="Times New Roman" w:hint="eastAsia"/>
          <w:bCs/>
          <w:szCs w:val="21"/>
        </w:rPr>
        <w:t>层</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邮政编码：</w:t>
      </w:r>
      <w:r w:rsidRPr="00FA0B7E">
        <w:rPr>
          <w:rFonts w:ascii="Times New Roman" w:hAnsi="Times New Roman"/>
          <w:bCs/>
          <w:szCs w:val="21"/>
        </w:rPr>
        <w:t>100033</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法定代表人：杨明辉</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成立日期：</w:t>
      </w:r>
      <w:r w:rsidRPr="00FA0B7E">
        <w:rPr>
          <w:rFonts w:ascii="Times New Roman" w:hAnsi="Times New Roman"/>
          <w:bCs/>
          <w:szCs w:val="21"/>
        </w:rPr>
        <w:t>1998</w:t>
      </w:r>
      <w:r w:rsidRPr="00FA0B7E">
        <w:rPr>
          <w:rFonts w:ascii="Times New Roman" w:hAnsi="Times New Roman" w:hint="eastAsia"/>
          <w:bCs/>
          <w:szCs w:val="21"/>
        </w:rPr>
        <w:t>年</w:t>
      </w:r>
      <w:r w:rsidRPr="00FA0B7E">
        <w:rPr>
          <w:rFonts w:ascii="Times New Roman" w:hAnsi="Times New Roman"/>
          <w:bCs/>
          <w:szCs w:val="21"/>
        </w:rPr>
        <w:t>4</w:t>
      </w:r>
      <w:r w:rsidRPr="00FA0B7E">
        <w:rPr>
          <w:rFonts w:ascii="Times New Roman" w:hAnsi="Times New Roman" w:hint="eastAsia"/>
          <w:bCs/>
          <w:szCs w:val="21"/>
        </w:rPr>
        <w:t>月</w:t>
      </w:r>
      <w:r w:rsidRPr="00FA0B7E">
        <w:rPr>
          <w:rFonts w:ascii="Times New Roman" w:hAnsi="Times New Roman"/>
          <w:bCs/>
          <w:szCs w:val="21"/>
        </w:rPr>
        <w:t>9</w:t>
      </w:r>
      <w:r w:rsidRPr="00FA0B7E">
        <w:rPr>
          <w:rFonts w:ascii="Times New Roman" w:hAnsi="Times New Roman" w:hint="eastAsia"/>
          <w:bCs/>
          <w:szCs w:val="21"/>
        </w:rPr>
        <w:t>日</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批准设立机关及批准设立文号：中国证监会证监基字</w:t>
      </w:r>
      <w:r w:rsidRPr="00FA0B7E">
        <w:rPr>
          <w:rFonts w:ascii="Times New Roman" w:hAnsi="Times New Roman"/>
          <w:bCs/>
          <w:szCs w:val="21"/>
        </w:rPr>
        <w:t>[1998]16</w:t>
      </w:r>
      <w:r w:rsidRPr="00FA0B7E">
        <w:rPr>
          <w:rFonts w:ascii="Times New Roman" w:hAnsi="Times New Roman" w:hint="eastAsia"/>
          <w:bCs/>
          <w:szCs w:val="21"/>
        </w:rPr>
        <w:t>号</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组织形式：有限责任公司</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注册资本：</w:t>
      </w:r>
      <w:r w:rsidRPr="00FA0B7E">
        <w:rPr>
          <w:rFonts w:ascii="Times New Roman" w:hAnsi="Times New Roman"/>
          <w:bCs/>
          <w:szCs w:val="21"/>
        </w:rPr>
        <w:t>2.38</w:t>
      </w:r>
      <w:r w:rsidRPr="00FA0B7E">
        <w:rPr>
          <w:rFonts w:ascii="Times New Roman" w:hAnsi="Times New Roman" w:hint="eastAsia"/>
          <w:bCs/>
          <w:szCs w:val="21"/>
        </w:rPr>
        <w:t>亿元</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存续期间：</w:t>
      </w:r>
      <w:r w:rsidRPr="00FA0B7E">
        <w:rPr>
          <w:rFonts w:ascii="Times New Roman" w:hAnsi="Times New Roman"/>
          <w:bCs/>
          <w:szCs w:val="21"/>
        </w:rPr>
        <w:t>100</w:t>
      </w:r>
      <w:r w:rsidRPr="00FA0B7E">
        <w:rPr>
          <w:rFonts w:ascii="Times New Roman" w:hAnsi="Times New Roman" w:hint="eastAsia"/>
          <w:bCs/>
          <w:szCs w:val="21"/>
        </w:rPr>
        <w:t>年</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（二）基金托管人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名称：中国建设银行股份有限公司（简称：中国建设银行）</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住所：北京市西城区金融大街</w:t>
      </w:r>
      <w:r w:rsidRPr="00FA0B7E">
        <w:rPr>
          <w:rFonts w:ascii="Times New Roman" w:hAnsi="Times New Roman"/>
          <w:bCs/>
          <w:szCs w:val="21"/>
        </w:rPr>
        <w:t>25</w:t>
      </w:r>
      <w:r w:rsidRPr="00FA0B7E">
        <w:rPr>
          <w:rFonts w:ascii="Times New Roman" w:hAnsi="Times New Roman" w:hint="eastAsia"/>
          <w:bCs/>
          <w:szCs w:val="21"/>
        </w:rPr>
        <w:t>号</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办公地址：北京市西城区闹市口大街</w:t>
      </w:r>
      <w:r w:rsidRPr="00FA0B7E">
        <w:rPr>
          <w:rFonts w:ascii="Times New Roman" w:hAnsi="Times New Roman"/>
          <w:bCs/>
          <w:szCs w:val="21"/>
        </w:rPr>
        <w:t>1</w:t>
      </w:r>
      <w:r w:rsidRPr="00FA0B7E">
        <w:rPr>
          <w:rFonts w:ascii="Times New Roman" w:hAnsi="Times New Roman" w:hint="eastAsia"/>
          <w:bCs/>
          <w:szCs w:val="21"/>
        </w:rPr>
        <w:t>号院</w:t>
      </w:r>
      <w:r w:rsidRPr="00FA0B7E">
        <w:rPr>
          <w:rFonts w:ascii="Times New Roman" w:hAnsi="Times New Roman"/>
          <w:bCs/>
          <w:szCs w:val="21"/>
        </w:rPr>
        <w:t>1</w:t>
      </w:r>
      <w:r w:rsidRPr="00FA0B7E">
        <w:rPr>
          <w:rFonts w:ascii="Times New Roman" w:hAnsi="Times New Roman" w:hint="eastAsia"/>
          <w:bCs/>
          <w:szCs w:val="21"/>
        </w:rPr>
        <w:t>号楼</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邮政编码：</w:t>
      </w:r>
      <w:r w:rsidRPr="00FA0B7E">
        <w:rPr>
          <w:rFonts w:ascii="Times New Roman" w:hAnsi="Times New Roman"/>
          <w:bCs/>
          <w:szCs w:val="21"/>
        </w:rPr>
        <w:t>100033</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法定代表人：王洪章</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成立日期：</w:t>
      </w:r>
      <w:r w:rsidRPr="00FA0B7E">
        <w:rPr>
          <w:rFonts w:ascii="Times New Roman" w:hAnsi="Times New Roman"/>
          <w:bCs/>
          <w:szCs w:val="21"/>
        </w:rPr>
        <w:t>2004</w:t>
      </w:r>
      <w:r w:rsidRPr="00FA0B7E">
        <w:rPr>
          <w:rFonts w:ascii="Times New Roman" w:hAnsi="Times New Roman" w:hint="eastAsia"/>
          <w:bCs/>
          <w:szCs w:val="21"/>
        </w:rPr>
        <w:t>年</w:t>
      </w:r>
      <w:r w:rsidRPr="00FA0B7E">
        <w:rPr>
          <w:rFonts w:ascii="Times New Roman" w:hAnsi="Times New Roman"/>
          <w:bCs/>
          <w:szCs w:val="21"/>
        </w:rPr>
        <w:t>9</w:t>
      </w:r>
      <w:r w:rsidRPr="00FA0B7E">
        <w:rPr>
          <w:rFonts w:ascii="Times New Roman" w:hAnsi="Times New Roman" w:hint="eastAsia"/>
          <w:bCs/>
          <w:szCs w:val="21"/>
        </w:rPr>
        <w:t>月</w:t>
      </w:r>
      <w:r w:rsidRPr="00FA0B7E">
        <w:rPr>
          <w:rFonts w:ascii="Times New Roman" w:hAnsi="Times New Roman"/>
          <w:bCs/>
          <w:szCs w:val="21"/>
        </w:rPr>
        <w:t>17</w:t>
      </w:r>
      <w:r w:rsidRPr="00FA0B7E">
        <w:rPr>
          <w:rFonts w:ascii="Times New Roman" w:hAnsi="Times New Roman" w:hint="eastAsia"/>
          <w:bCs/>
          <w:szCs w:val="21"/>
        </w:rPr>
        <w:t>日</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基金托管业务批准文号：中国证监会证监基字</w:t>
      </w:r>
      <w:r w:rsidRPr="00FA0B7E">
        <w:rPr>
          <w:rFonts w:ascii="Times New Roman" w:hAnsi="Times New Roman"/>
          <w:bCs/>
          <w:szCs w:val="21"/>
        </w:rPr>
        <w:t>[1998]12</w:t>
      </w:r>
      <w:r w:rsidRPr="00FA0B7E">
        <w:rPr>
          <w:rFonts w:ascii="Times New Roman" w:hAnsi="Times New Roman" w:hint="eastAsia"/>
          <w:bCs/>
          <w:szCs w:val="21"/>
        </w:rPr>
        <w:t>号</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组织形式：股份有限公司</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注册资本：贰仟伍佰亿壹仟零玖拾柒万柒仟肆佰捌拾陆元整</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存续期间：持续经营</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87107D" w:rsidRPr="00AB1F9E" w:rsidRDefault="00FA0B7E" w:rsidP="009C27BA">
      <w:pPr>
        <w:pStyle w:val="a5"/>
        <w:spacing w:after="240"/>
        <w:rPr>
          <w:sz w:val="21"/>
          <w:szCs w:val="21"/>
        </w:rPr>
      </w:pPr>
      <w:bookmarkStart w:id="1" w:name="_Toc457223656"/>
      <w:r w:rsidRPr="00FA0B7E">
        <w:rPr>
          <w:rFonts w:hint="eastAsia"/>
          <w:sz w:val="21"/>
          <w:szCs w:val="21"/>
        </w:rPr>
        <w:t>二、基金托管协议的依据、目的和原则</w:t>
      </w:r>
      <w:bookmarkEnd w:id="1"/>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（一）订立托管协议的依据</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本协议依据《中华人民共和国证券投资基金法》</w:t>
      </w:r>
      <w:r w:rsidRPr="00FA0B7E">
        <w:rPr>
          <w:rFonts w:ascii="Times New Roman" w:hAnsi="Times New Roman"/>
          <w:bCs/>
          <w:szCs w:val="21"/>
        </w:rPr>
        <w:t xml:space="preserve"> </w:t>
      </w:r>
      <w:r w:rsidRPr="00FA0B7E">
        <w:rPr>
          <w:rFonts w:ascii="Times New Roman" w:hAnsi="Times New Roman" w:hint="eastAsia"/>
          <w:bCs/>
          <w:szCs w:val="21"/>
        </w:rPr>
        <w:t>（以下简称</w:t>
      </w:r>
      <w:r w:rsidRPr="00FA0B7E">
        <w:rPr>
          <w:rFonts w:ascii="Times New Roman" w:hAnsi="Times New Roman"/>
          <w:bCs/>
          <w:szCs w:val="21"/>
        </w:rPr>
        <w:t>“</w:t>
      </w:r>
      <w:r w:rsidRPr="00FA0B7E">
        <w:rPr>
          <w:rFonts w:ascii="Times New Roman" w:hAnsi="Times New Roman" w:hint="eastAsia"/>
          <w:bCs/>
          <w:szCs w:val="21"/>
        </w:rPr>
        <w:t>《基金法》</w:t>
      </w:r>
      <w:r w:rsidRPr="00FA0B7E">
        <w:rPr>
          <w:rFonts w:ascii="Times New Roman" w:hAnsi="Times New Roman"/>
          <w:bCs/>
          <w:szCs w:val="21"/>
        </w:rPr>
        <w:t>”</w:t>
      </w:r>
      <w:r w:rsidRPr="00FA0B7E">
        <w:rPr>
          <w:rFonts w:ascii="Times New Roman" w:hAnsi="Times New Roman" w:hint="eastAsia"/>
          <w:bCs/>
          <w:szCs w:val="21"/>
        </w:rPr>
        <w:t>）等有关法律法规、《基金合同》及其他有关规定制订。</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（二）订立托管协议的目的</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（三）订立托管协议的原则</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基金管理人和基金托管人本着平等自愿、诚实信用、充分保护基金份额持有人合法权益的原则，经协商一致，签订本协议。</w:t>
      </w:r>
    </w:p>
    <w:p w:rsidR="0087107D" w:rsidRPr="00AB1F9E" w:rsidRDefault="00FA0B7E" w:rsidP="009C27BA">
      <w:pPr>
        <w:pStyle w:val="a5"/>
        <w:spacing w:after="240"/>
        <w:rPr>
          <w:sz w:val="21"/>
          <w:szCs w:val="21"/>
        </w:rPr>
      </w:pPr>
      <w:bookmarkStart w:id="2" w:name="_Toc457223657"/>
      <w:r w:rsidRPr="00FA0B7E">
        <w:rPr>
          <w:rFonts w:hint="eastAsia"/>
          <w:sz w:val="21"/>
          <w:szCs w:val="21"/>
        </w:rPr>
        <w:t>三、基金托管人对基金管理人的业务监督和核查</w:t>
      </w:r>
      <w:bookmarkEnd w:id="2"/>
    </w:p>
    <w:p w:rsidR="00FA0B7E" w:rsidRPr="00FA0B7E" w:rsidRDefault="00FA0B7E" w:rsidP="00FA0B7E">
      <w:pPr>
        <w:spacing w:line="360" w:lineRule="auto"/>
        <w:ind w:firstLine="480"/>
        <w:rPr>
          <w:rFonts w:ascii="Times New Roman" w:hAnsi="Times New Roman"/>
          <w:bCs/>
          <w:szCs w:val="21"/>
        </w:rPr>
      </w:pPr>
      <w:r w:rsidRPr="00FA0B7E">
        <w:rPr>
          <w:rFonts w:ascii="Times New Roman" w:hAnsi="Times New Roman" w:hint="eastAsia"/>
          <w:bCs/>
          <w:szCs w:val="21"/>
        </w:rPr>
        <w:t>（一）基金托管人根据有关法律法规的规定及《基金合同》的约定，对基金投资范围、投资</w:t>
      </w:r>
      <w:r w:rsidR="00722751">
        <w:rPr>
          <w:rFonts w:ascii="Times New Roman" w:hAnsi="Times New Roman" w:hint="eastAsia"/>
          <w:bCs/>
          <w:szCs w:val="21"/>
        </w:rPr>
        <w:t>比例</w:t>
      </w:r>
      <w:r w:rsidRPr="00FA0B7E">
        <w:rPr>
          <w:rFonts w:ascii="Times New Roman" w:hAnsi="Times New Roman" w:hint="eastAsia"/>
          <w:bCs/>
          <w:szCs w:val="21"/>
        </w:rPr>
        <w:t>进行监督。</w:t>
      </w:r>
    </w:p>
    <w:p w:rsidR="00FA0B7E" w:rsidRPr="00FA0B7E" w:rsidRDefault="00FA0B7E" w:rsidP="00FA0B7E">
      <w:pPr>
        <w:spacing w:line="360" w:lineRule="auto"/>
        <w:ind w:firstLine="480"/>
        <w:rPr>
          <w:rFonts w:ascii="Times New Roman" w:hAnsi="Times New Roman"/>
          <w:bCs/>
          <w:szCs w:val="21"/>
        </w:rPr>
      </w:pPr>
      <w:r w:rsidRPr="00FA0B7E">
        <w:rPr>
          <w:rFonts w:ascii="Times New Roman" w:hAnsi="Times New Roman" w:hint="eastAsia"/>
          <w:bCs/>
          <w:szCs w:val="21"/>
        </w:rPr>
        <w:t>本基金的投资范围为具有良好流动性的金融工具，包括国内依法发行上市的股票（包含中小板、创业板及其他经中国证监会核准上市的股票）、债券（含中小企业私募债券）、货币市场工具、权证、资产支持证券、国债期货以及法律法规或中国证监会允许基金投资的其他金融工具（但须符合中国证监会相关规定）。</w:t>
      </w:r>
    </w:p>
    <w:p w:rsidR="00FA0B7E" w:rsidRPr="00FA0B7E" w:rsidRDefault="00FA0B7E" w:rsidP="00FA0B7E">
      <w:pPr>
        <w:spacing w:line="360" w:lineRule="auto"/>
        <w:ind w:firstLine="480"/>
        <w:rPr>
          <w:rFonts w:ascii="Times New Roman" w:hAnsi="Times New Roman"/>
          <w:bCs/>
          <w:szCs w:val="21"/>
        </w:rPr>
      </w:pPr>
      <w:r w:rsidRPr="00FA0B7E">
        <w:rPr>
          <w:rFonts w:ascii="Times New Roman" w:hAnsi="Times New Roman" w:hint="eastAsia"/>
          <w:bCs/>
          <w:szCs w:val="21"/>
        </w:rPr>
        <w:t>本基金主要投资于国债、央行票据、金融债、次级债、地方政府债、企业债、公司债（含中小企业私募债）、中期票据、短期融资券、资产支持证券、可转换债券（含可分离交易可转债、可交换债券）、债券回购、银行存款（含同业存款、协议存款、定期存款及其他银行存款、大额存单）等固定收益类资产。</w:t>
      </w:r>
    </w:p>
    <w:p w:rsidR="00FA0B7E" w:rsidRPr="00FA0B7E" w:rsidRDefault="00FA0B7E" w:rsidP="00FA0B7E">
      <w:pPr>
        <w:spacing w:line="360" w:lineRule="auto"/>
        <w:ind w:firstLine="480"/>
        <w:rPr>
          <w:rFonts w:ascii="Times New Roman" w:hAnsi="Times New Roman"/>
          <w:bCs/>
          <w:szCs w:val="21"/>
        </w:rPr>
      </w:pPr>
      <w:r w:rsidRPr="00FA0B7E">
        <w:rPr>
          <w:rFonts w:ascii="Times New Roman" w:hAnsi="Times New Roman" w:hint="eastAsia"/>
          <w:bCs/>
          <w:szCs w:val="21"/>
        </w:rPr>
        <w:t>如法律法规或监管机构以后允许基金投资其他品种，基金管理人在履行适当程序后，可以将其纳入投资范围。</w:t>
      </w:r>
    </w:p>
    <w:p w:rsidR="00FA0B7E" w:rsidRPr="00FA0B7E" w:rsidRDefault="00FA0B7E" w:rsidP="00FA0B7E">
      <w:pPr>
        <w:spacing w:line="360" w:lineRule="auto"/>
        <w:ind w:firstLine="480"/>
        <w:rPr>
          <w:rFonts w:ascii="Times New Roman" w:hAnsi="Times New Roman"/>
          <w:bCs/>
          <w:szCs w:val="21"/>
        </w:rPr>
      </w:pPr>
      <w:r w:rsidRPr="00FA0B7E">
        <w:rPr>
          <w:rFonts w:ascii="Times New Roman" w:hAnsi="Times New Roman" w:hint="eastAsia"/>
          <w:bCs/>
          <w:szCs w:val="21"/>
        </w:rPr>
        <w:t>基金的投资组合比例为：本基金投资于固定收益类资产的比例不低于基金资产的</w:t>
      </w:r>
      <w:r w:rsidRPr="00FA0B7E">
        <w:rPr>
          <w:rFonts w:ascii="Times New Roman" w:hAnsi="Times New Roman"/>
          <w:bCs/>
          <w:szCs w:val="21"/>
        </w:rPr>
        <w:t>80%</w:t>
      </w:r>
      <w:r w:rsidRPr="00FA0B7E">
        <w:rPr>
          <w:rFonts w:ascii="Times New Roman" w:hAnsi="Times New Roman" w:hint="eastAsia"/>
          <w:bCs/>
          <w:szCs w:val="21"/>
        </w:rPr>
        <w:t>。其中，投资于可转换债券（含可分离交易可转债、可交换债券）的比例不低于非现金资产的</w:t>
      </w:r>
      <w:r w:rsidRPr="00FA0B7E">
        <w:rPr>
          <w:rFonts w:ascii="Times New Roman" w:hAnsi="Times New Roman"/>
          <w:bCs/>
          <w:szCs w:val="21"/>
        </w:rPr>
        <w:t>80%</w:t>
      </w:r>
      <w:r w:rsidRPr="00FA0B7E">
        <w:rPr>
          <w:rFonts w:ascii="Times New Roman" w:hAnsi="Times New Roman" w:hint="eastAsia"/>
          <w:bCs/>
          <w:szCs w:val="21"/>
        </w:rPr>
        <w:t>。</w:t>
      </w:r>
    </w:p>
    <w:p w:rsid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（二）基金托管人根据有关法律法规的规定及《基金合同》的约定，对基金投资、融资比例进行监督。</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基金托管人按下述比例和调整期限进行监督：</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本基金投资于固定收益类资产的比例不低于基金资产的</w:t>
      </w:r>
      <w:r w:rsidRPr="00FA0B7E">
        <w:rPr>
          <w:rFonts w:ascii="Times New Roman" w:hAnsi="Times New Roman"/>
          <w:bCs/>
          <w:szCs w:val="21"/>
        </w:rPr>
        <w:t>80%</w:t>
      </w:r>
      <w:r w:rsidRPr="00FA0B7E">
        <w:rPr>
          <w:rFonts w:ascii="Times New Roman" w:hAnsi="Times New Roman" w:hint="eastAsia"/>
          <w:bCs/>
          <w:szCs w:val="21"/>
        </w:rPr>
        <w:t>。其中，投资于可转换债券（含可分离交易可转债、可交换债券）的比例不低于非现金资产的</w:t>
      </w:r>
      <w:r w:rsidRPr="00FA0B7E">
        <w:rPr>
          <w:rFonts w:ascii="Times New Roman" w:hAnsi="Times New Roman"/>
          <w:bCs/>
          <w:szCs w:val="21"/>
        </w:rPr>
        <w:t>80%</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每个交易日日终在扣除国债期货合约需缴纳的交易保证金后，保持不低于基金资产净值</w:t>
      </w:r>
      <w:r w:rsidRPr="00FA0B7E">
        <w:rPr>
          <w:rFonts w:ascii="Times New Roman" w:hAnsi="Times New Roman"/>
          <w:bCs/>
          <w:szCs w:val="21"/>
        </w:rPr>
        <w:t>5%</w:t>
      </w:r>
      <w:r w:rsidRPr="00FA0B7E">
        <w:rPr>
          <w:rFonts w:ascii="Times New Roman" w:hAnsi="Times New Roman" w:hint="eastAsia"/>
          <w:bCs/>
          <w:szCs w:val="21"/>
        </w:rPr>
        <w:t>的现金或者到期日在一年以内的政府债券</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本基金持有一家公司发行的证券，其市值不超过基金资产净值的</w:t>
      </w:r>
      <w:r w:rsidRPr="00FA0B7E">
        <w:rPr>
          <w:rFonts w:ascii="Times New Roman" w:hAnsi="Times New Roman"/>
          <w:bCs/>
          <w:szCs w:val="21"/>
        </w:rPr>
        <w:t>10%</w:t>
      </w:r>
      <w:r w:rsidRPr="00FA0B7E">
        <w:rPr>
          <w:rFonts w:ascii="Times New Roman" w:hAnsi="Times New Roman" w:hint="eastAsia"/>
          <w:bCs/>
          <w:szCs w:val="21"/>
        </w:rPr>
        <w:t>，但基金投资可转债（含可分离交易可转债、可交换债券）部分不受此限制</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本基金持有的全部权证，其市值不得超过基金资产净值的</w:t>
      </w:r>
      <w:r w:rsidRPr="00FA0B7E">
        <w:rPr>
          <w:rFonts w:ascii="Times New Roman" w:hAnsi="Times New Roman"/>
          <w:bCs/>
          <w:szCs w:val="21"/>
        </w:rPr>
        <w:t>3%</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5</w:t>
      </w:r>
      <w:r w:rsidR="00E026C9">
        <w:rPr>
          <w:rFonts w:ascii="Times New Roman" w:hAnsi="Times New Roman"/>
          <w:bCs/>
          <w:szCs w:val="21"/>
        </w:rPr>
        <w:t>、</w:t>
      </w:r>
      <w:r w:rsidRPr="00FA0B7E">
        <w:rPr>
          <w:rFonts w:ascii="Times New Roman" w:hAnsi="Times New Roman" w:hint="eastAsia"/>
          <w:bCs/>
          <w:szCs w:val="21"/>
        </w:rPr>
        <w:t>本基金在任何交易日买入权证的总金额，不得超过上一交易日基金资产净值的</w:t>
      </w:r>
      <w:r w:rsidRPr="00FA0B7E">
        <w:rPr>
          <w:rFonts w:ascii="Times New Roman" w:hAnsi="Times New Roman"/>
          <w:bCs/>
          <w:szCs w:val="21"/>
        </w:rPr>
        <w:t>0.5%</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6</w:t>
      </w:r>
      <w:r w:rsidR="00E026C9">
        <w:rPr>
          <w:rFonts w:ascii="Times New Roman" w:hAnsi="Times New Roman"/>
          <w:bCs/>
          <w:szCs w:val="21"/>
        </w:rPr>
        <w:t>、</w:t>
      </w:r>
      <w:r w:rsidRPr="00FA0B7E">
        <w:rPr>
          <w:rFonts w:ascii="Times New Roman" w:hAnsi="Times New Roman" w:hint="eastAsia"/>
          <w:bCs/>
          <w:szCs w:val="21"/>
        </w:rPr>
        <w:t>本基金投资于同一原始权益人的各类资产支持证券的比例，不得超过基金资产净值的</w:t>
      </w:r>
      <w:r w:rsidRPr="00FA0B7E">
        <w:rPr>
          <w:rFonts w:ascii="Times New Roman" w:hAnsi="Times New Roman"/>
          <w:bCs/>
          <w:szCs w:val="21"/>
        </w:rPr>
        <w:t>10%</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7</w:t>
      </w:r>
      <w:r w:rsidR="00E026C9">
        <w:rPr>
          <w:rFonts w:ascii="Times New Roman" w:hAnsi="Times New Roman"/>
          <w:bCs/>
          <w:szCs w:val="21"/>
        </w:rPr>
        <w:t>、</w:t>
      </w:r>
      <w:r w:rsidRPr="00FA0B7E">
        <w:rPr>
          <w:rFonts w:ascii="Times New Roman" w:hAnsi="Times New Roman" w:hint="eastAsia"/>
          <w:bCs/>
          <w:szCs w:val="21"/>
        </w:rPr>
        <w:t>本基金持有的全部资产支持证券，其市值不得超过基金资产净值的</w:t>
      </w:r>
      <w:r w:rsidRPr="00FA0B7E">
        <w:rPr>
          <w:rFonts w:ascii="Times New Roman" w:hAnsi="Times New Roman"/>
          <w:bCs/>
          <w:szCs w:val="21"/>
        </w:rPr>
        <w:t>20%</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8</w:t>
      </w:r>
      <w:r w:rsidR="00E026C9">
        <w:rPr>
          <w:rFonts w:ascii="Times New Roman" w:hAnsi="Times New Roman"/>
          <w:bCs/>
          <w:szCs w:val="21"/>
        </w:rPr>
        <w:t>、</w:t>
      </w:r>
      <w:r w:rsidRPr="00FA0B7E">
        <w:rPr>
          <w:rFonts w:ascii="Times New Roman" w:hAnsi="Times New Roman" w:hint="eastAsia"/>
          <w:bCs/>
          <w:szCs w:val="21"/>
        </w:rPr>
        <w:t>本基金持有的同一（指同一信用级别）资产支持证券的比例，不得超过该资产支持证券规模的</w:t>
      </w:r>
      <w:r w:rsidRPr="00FA0B7E">
        <w:rPr>
          <w:rFonts w:ascii="Times New Roman" w:hAnsi="Times New Roman"/>
          <w:bCs/>
          <w:szCs w:val="21"/>
        </w:rPr>
        <w:t>10%</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9</w:t>
      </w:r>
      <w:r w:rsidR="00E026C9">
        <w:rPr>
          <w:rFonts w:ascii="Times New Roman" w:hAnsi="Times New Roman"/>
          <w:bCs/>
          <w:szCs w:val="21"/>
        </w:rPr>
        <w:t>、</w:t>
      </w:r>
      <w:r w:rsidRPr="00FA0B7E">
        <w:rPr>
          <w:rFonts w:ascii="Times New Roman" w:hAnsi="Times New Roman" w:hint="eastAsia"/>
          <w:bCs/>
          <w:szCs w:val="21"/>
        </w:rPr>
        <w:t>本基金应投资于信用级别评级为</w:t>
      </w:r>
      <w:r w:rsidRPr="00FA0B7E">
        <w:rPr>
          <w:rFonts w:ascii="Times New Roman" w:hAnsi="Times New Roman"/>
          <w:bCs/>
          <w:szCs w:val="21"/>
        </w:rPr>
        <w:t>BBB</w:t>
      </w:r>
      <w:r w:rsidRPr="00FA0B7E">
        <w:rPr>
          <w:rFonts w:ascii="Times New Roman" w:hAnsi="Times New Roman" w:hint="eastAsia"/>
          <w:bCs/>
          <w:szCs w:val="21"/>
        </w:rPr>
        <w:t>以上（含</w:t>
      </w:r>
      <w:r w:rsidRPr="00FA0B7E">
        <w:rPr>
          <w:rFonts w:ascii="Times New Roman" w:hAnsi="Times New Roman"/>
          <w:bCs/>
          <w:szCs w:val="21"/>
        </w:rPr>
        <w:t>BBB</w:t>
      </w:r>
      <w:r w:rsidRPr="00FA0B7E">
        <w:rPr>
          <w:rFonts w:ascii="Times New Roman" w:hAnsi="Times New Roman" w:hint="eastAsia"/>
          <w:bCs/>
          <w:szCs w:val="21"/>
        </w:rPr>
        <w:t>）的资产支持证券。基金持有资产支持证券期间，如果其信用等级下降、不再符合投资标准，应在评级报告发布之日起</w:t>
      </w:r>
      <w:r w:rsidRPr="00FA0B7E">
        <w:rPr>
          <w:rFonts w:ascii="Times New Roman" w:hAnsi="Times New Roman"/>
          <w:bCs/>
          <w:szCs w:val="21"/>
        </w:rPr>
        <w:t>3</w:t>
      </w:r>
      <w:r w:rsidRPr="00FA0B7E">
        <w:rPr>
          <w:rFonts w:ascii="Times New Roman" w:hAnsi="Times New Roman" w:hint="eastAsia"/>
          <w:bCs/>
          <w:szCs w:val="21"/>
        </w:rPr>
        <w:t>个月内予以全部卖出</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10</w:t>
      </w:r>
      <w:r w:rsidR="00E026C9">
        <w:rPr>
          <w:rFonts w:ascii="Times New Roman" w:hAnsi="Times New Roman"/>
          <w:bCs/>
          <w:szCs w:val="21"/>
        </w:rPr>
        <w:t>、</w:t>
      </w:r>
      <w:r w:rsidRPr="00FA0B7E">
        <w:rPr>
          <w:rFonts w:ascii="Times New Roman" w:hAnsi="Times New Roman" w:hint="eastAsia"/>
          <w:bCs/>
          <w:szCs w:val="21"/>
        </w:rPr>
        <w:t>基金财产参与股票发行申购，本基金所申报的金额不超过本基金的总资产，本基金所申报的股票数量不超过拟发行股票公司本次发行股票的总量</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11</w:t>
      </w:r>
      <w:r w:rsidR="00E026C9">
        <w:rPr>
          <w:rFonts w:ascii="Times New Roman" w:hAnsi="Times New Roman"/>
          <w:bCs/>
          <w:szCs w:val="21"/>
        </w:rPr>
        <w:t>、</w:t>
      </w:r>
      <w:r w:rsidRPr="00FA0B7E">
        <w:rPr>
          <w:rFonts w:ascii="Times New Roman" w:hAnsi="Times New Roman" w:hint="eastAsia"/>
          <w:bCs/>
          <w:szCs w:val="21"/>
        </w:rPr>
        <w:t>本基金进入全国银行间同业市场进行债券回购的资金余额不得超过基金资产净值的</w:t>
      </w:r>
      <w:r w:rsidRPr="00FA0B7E">
        <w:rPr>
          <w:rFonts w:ascii="Times New Roman" w:hAnsi="Times New Roman"/>
          <w:bCs/>
          <w:szCs w:val="21"/>
        </w:rPr>
        <w:t>40%</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12</w:t>
      </w:r>
      <w:r w:rsidR="00E026C9">
        <w:rPr>
          <w:rFonts w:ascii="Times New Roman" w:hAnsi="Times New Roman"/>
          <w:bCs/>
          <w:szCs w:val="21"/>
        </w:rPr>
        <w:t>、</w:t>
      </w:r>
      <w:r w:rsidRPr="00FA0B7E">
        <w:rPr>
          <w:rFonts w:ascii="Times New Roman" w:hAnsi="Times New Roman" w:hint="eastAsia"/>
          <w:bCs/>
          <w:szCs w:val="21"/>
        </w:rPr>
        <w:t>本基金资产总值不得超过基金资产净值的</w:t>
      </w:r>
      <w:r w:rsidRPr="00FA0B7E">
        <w:rPr>
          <w:rFonts w:ascii="Times New Roman" w:hAnsi="Times New Roman"/>
          <w:bCs/>
          <w:szCs w:val="21"/>
        </w:rPr>
        <w:t>140%</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13</w:t>
      </w:r>
      <w:r w:rsidR="00E026C9">
        <w:rPr>
          <w:rFonts w:ascii="Times New Roman" w:hAnsi="Times New Roman"/>
          <w:bCs/>
          <w:szCs w:val="21"/>
        </w:rPr>
        <w:t>、</w:t>
      </w:r>
      <w:r w:rsidRPr="00FA0B7E">
        <w:rPr>
          <w:rFonts w:ascii="Times New Roman" w:hAnsi="Times New Roman" w:hint="eastAsia"/>
          <w:bCs/>
          <w:szCs w:val="21"/>
        </w:rPr>
        <w:t>本基金持有的所有流通受限证券，其公允价值不得超过本基金资产净值的</w:t>
      </w:r>
      <w:r w:rsidRPr="00FA0B7E">
        <w:rPr>
          <w:rFonts w:ascii="Times New Roman" w:hAnsi="Times New Roman"/>
          <w:bCs/>
          <w:szCs w:val="21"/>
        </w:rPr>
        <w:t>20%</w:t>
      </w:r>
      <w:r w:rsidR="00E026C9">
        <w:rPr>
          <w:rFonts w:ascii="Times New Roman" w:hAnsi="Times New Roman" w:hint="eastAsia"/>
          <w:bCs/>
          <w:szCs w:val="21"/>
        </w:rPr>
        <w:t>。</w:t>
      </w:r>
      <w:r w:rsidRPr="00FA0B7E">
        <w:rPr>
          <w:rFonts w:ascii="Times New Roman" w:hAnsi="Times New Roman" w:hint="eastAsia"/>
          <w:bCs/>
          <w:szCs w:val="21"/>
        </w:rPr>
        <w:t>本基金持有的同一流通受限证券，其公允价值不得超过本基金资产净值的</w:t>
      </w:r>
      <w:r w:rsidRPr="00FA0B7E">
        <w:rPr>
          <w:rFonts w:ascii="Times New Roman" w:hAnsi="Times New Roman"/>
          <w:bCs/>
          <w:szCs w:val="21"/>
        </w:rPr>
        <w:t>10%</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14</w:t>
      </w:r>
      <w:r w:rsidR="00E026C9">
        <w:rPr>
          <w:rFonts w:ascii="Times New Roman" w:hAnsi="Times New Roman"/>
          <w:bCs/>
          <w:szCs w:val="21"/>
        </w:rPr>
        <w:t>、</w:t>
      </w:r>
      <w:r w:rsidRPr="00FA0B7E">
        <w:rPr>
          <w:rFonts w:ascii="Times New Roman" w:hAnsi="Times New Roman" w:hint="eastAsia"/>
          <w:bCs/>
          <w:szCs w:val="21"/>
        </w:rPr>
        <w:t>基金在任何交易日日终，持有的买入国债期货合约价值，不得超过基金资产净值的</w:t>
      </w:r>
      <w:r w:rsidRPr="00FA0B7E">
        <w:rPr>
          <w:rFonts w:ascii="Times New Roman" w:hAnsi="Times New Roman"/>
          <w:bCs/>
          <w:szCs w:val="21"/>
        </w:rPr>
        <w:t>15%</w:t>
      </w:r>
      <w:r w:rsidRPr="00FA0B7E">
        <w:rPr>
          <w:rFonts w:ascii="Times New Roman" w:hAnsi="Times New Roman" w:hint="eastAsia"/>
          <w:bCs/>
          <w:szCs w:val="21"/>
        </w:rPr>
        <w:t>；基金在任何交易日日终，持有的卖出国债期货合约价值不得超过基金持有的债券总市值的</w:t>
      </w:r>
      <w:r w:rsidRPr="00FA0B7E">
        <w:rPr>
          <w:rFonts w:ascii="Times New Roman" w:hAnsi="Times New Roman"/>
          <w:bCs/>
          <w:szCs w:val="21"/>
        </w:rPr>
        <w:t>30%</w:t>
      </w:r>
      <w:r w:rsidRPr="00FA0B7E">
        <w:rPr>
          <w:rFonts w:ascii="Times New Roman" w:hAnsi="Times New Roman" w:hint="eastAsia"/>
          <w:bCs/>
          <w:szCs w:val="21"/>
        </w:rPr>
        <w:t>；基金在任何交易日内交易（不包括平仓）的国债期货合约的成交金额不得超过上一交易日基金资产净值的</w:t>
      </w:r>
      <w:r w:rsidRPr="00FA0B7E">
        <w:rPr>
          <w:rFonts w:ascii="Times New Roman" w:hAnsi="Times New Roman"/>
          <w:bCs/>
          <w:szCs w:val="21"/>
        </w:rPr>
        <w:t>30%</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15</w:t>
      </w:r>
      <w:r w:rsidR="00E026C9">
        <w:rPr>
          <w:rFonts w:ascii="Times New Roman" w:hAnsi="Times New Roman"/>
          <w:bCs/>
          <w:szCs w:val="21"/>
        </w:rPr>
        <w:t>、</w:t>
      </w:r>
      <w:r w:rsidRPr="00FA0B7E">
        <w:rPr>
          <w:rFonts w:ascii="Times New Roman" w:hAnsi="Times New Roman" w:hint="eastAsia"/>
          <w:bCs/>
          <w:szCs w:val="21"/>
        </w:rPr>
        <w:t>本基金持有单只中小企业私募债券，其市值不得超过该基金资产净值的</w:t>
      </w:r>
      <w:r w:rsidRPr="00FA0B7E">
        <w:rPr>
          <w:rFonts w:ascii="Times New Roman" w:hAnsi="Times New Roman"/>
          <w:bCs/>
          <w:szCs w:val="21"/>
        </w:rPr>
        <w:t>10%</w:t>
      </w:r>
      <w:r w:rsidRPr="00FA0B7E">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如果法律法规对上述投资组合比例限制进行变更的，以变更后的规定为准。法律法规或监管部门取消上述限制，如适用于本基金，则本基金投资不再受相关限制。</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因证券市场波动、上市公司合并、基金规模变动、基金主要投资标的市场情况发生变化等基金管理人之外的因素致使基金投资比例不符合上述规定投资比例的，基金管理人应当在</w:t>
      </w:r>
      <w:r w:rsidRPr="00FA0B7E">
        <w:rPr>
          <w:rFonts w:ascii="Times New Roman" w:hAnsi="Times New Roman"/>
          <w:bCs/>
          <w:szCs w:val="21"/>
        </w:rPr>
        <w:t>10</w:t>
      </w:r>
      <w:r w:rsidRPr="00FA0B7E">
        <w:rPr>
          <w:rFonts w:ascii="Times New Roman" w:hAnsi="Times New Roman" w:hint="eastAsia"/>
          <w:bCs/>
          <w:szCs w:val="21"/>
        </w:rPr>
        <w:t>个交易日内进行调整。但因基金主要投资标的市场情况发生变化，致使不能在</w:t>
      </w:r>
      <w:r w:rsidRPr="00FA0B7E">
        <w:rPr>
          <w:rFonts w:ascii="Times New Roman" w:hAnsi="Times New Roman"/>
          <w:bCs/>
          <w:szCs w:val="21"/>
        </w:rPr>
        <w:t>10</w:t>
      </w:r>
      <w:r w:rsidRPr="00FA0B7E">
        <w:rPr>
          <w:rFonts w:ascii="Times New Roman" w:hAnsi="Times New Roman" w:hint="eastAsia"/>
          <w:bCs/>
          <w:szCs w:val="21"/>
        </w:rPr>
        <w:t>个交易日内完成调整的，基金管理人应当在合理时间内进行调整。法律法规另有规定时，从其规定。但中国证监会规定的特殊情形除外。</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基金管理人应当自基金合同生效之日起</w:t>
      </w:r>
      <w:r w:rsidRPr="00FA0B7E">
        <w:rPr>
          <w:rFonts w:ascii="Times New Roman" w:hAnsi="Times New Roman"/>
          <w:bCs/>
          <w:szCs w:val="21"/>
        </w:rPr>
        <w:t>6</w:t>
      </w:r>
      <w:r w:rsidRPr="00FA0B7E">
        <w:rPr>
          <w:rFonts w:ascii="Times New Roman" w:hAnsi="Times New Roman"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（三）基金托管人根据有关法律法规的规定及《基金合同》的约定，对本托管协议第十五条第九款基金投资禁止行为通过事后监督方式进行监督。</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FA0B7E">
        <w:rPr>
          <w:rFonts w:ascii="Times New Roman" w:hAnsi="Times New Roman"/>
          <w:bCs/>
          <w:szCs w:val="21"/>
        </w:rPr>
        <w:t>3</w:t>
      </w:r>
      <w:r w:rsidRPr="00FA0B7E">
        <w:rPr>
          <w:rFonts w:ascii="Times New Roman" w:hAnsi="Times New Roman" w:hint="eastAsia"/>
          <w:bCs/>
          <w:szCs w:val="21"/>
        </w:rPr>
        <w:t>个工作日内与基金托管人协商解决。</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（五）基金托管人根据有关法律法规的规定及《基金合同》的约定，对基金管理人投资流通受限证券进行监督。</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本基金投资的流通受限证券限于可由中国证券登记结算有限责任公司或中央国债登记结算有限责任公司负责登记和存管，并可在证券交易所或全国银行间债券市场交易的证券。</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本基金投资流通受限证券，不得预付任何形式的保证金。</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基金管理人投资非公开发行股票，应制订流动性风险处置预案并经其董事会批准。风险处置预案应包括但不限于因投资</w:t>
      </w:r>
      <w:r w:rsidR="0016630A">
        <w:rPr>
          <w:rFonts w:ascii="Times New Roman" w:hAnsi="Times New Roman" w:hint="eastAsia"/>
          <w:bCs/>
          <w:szCs w:val="21"/>
        </w:rPr>
        <w:t>流通</w:t>
      </w:r>
      <w:r w:rsidRPr="00FA0B7E">
        <w:rPr>
          <w:rFonts w:ascii="Times New Roman" w:hAnsi="Times New Roman" w:hint="eastAsia"/>
          <w:bCs/>
          <w:szCs w:val="21"/>
        </w:rPr>
        <w:t>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相应责任。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本基金投资非公开发行股票，基金管理人应至少于投资前一个工作日向基金托管人提交有关书面资料，并保证向基金托管人提供的有关资料真实、准确、完整。有关资料如有调整，基金管理人应及时提供调整后的资料。上述书面资料包括但不限于：</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1</w:t>
      </w:r>
      <w:r w:rsidRPr="00FA0B7E">
        <w:rPr>
          <w:rFonts w:ascii="Times New Roman" w:hAnsi="Times New Roman" w:hint="eastAsia"/>
          <w:bCs/>
          <w:szCs w:val="21"/>
        </w:rPr>
        <w:t>）中国证监会批准发行非公开发行股票的批准文件。</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2</w:t>
      </w:r>
      <w:r w:rsidRPr="00FA0B7E">
        <w:rPr>
          <w:rFonts w:ascii="Times New Roman" w:hAnsi="Times New Roman" w:hint="eastAsia"/>
          <w:bCs/>
          <w:szCs w:val="21"/>
        </w:rPr>
        <w:t>）非公开发行股票有关发行数量、发行价格、锁定期等发行资料。</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3</w:t>
      </w:r>
      <w:r w:rsidRPr="00FA0B7E">
        <w:rPr>
          <w:rFonts w:ascii="Times New Roman" w:hAnsi="Times New Roman" w:hint="eastAsia"/>
          <w:bCs/>
          <w:szCs w:val="21"/>
        </w:rPr>
        <w:t>）非公开发行股票发行人与中国证券登记结算有限责任公司或中央国债登记结算有限责任公司签订的证券登记及服务协议。</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4</w:t>
      </w:r>
      <w:r w:rsidRPr="00FA0B7E">
        <w:rPr>
          <w:rFonts w:ascii="Times New Roman" w:hAnsi="Times New Roman" w:hint="eastAsia"/>
          <w:bCs/>
          <w:szCs w:val="21"/>
        </w:rPr>
        <w:t>）基金拟认购的数量、价格、总成本、账面价值。</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本基金有关投资流通受限证券比例如违反有关限制规定，在合理期限内未能进行及时调整，基金管理人应在两个工作日内编制临时报告书，予以公告。</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5</w:t>
      </w:r>
      <w:r w:rsidR="00E026C9">
        <w:rPr>
          <w:rFonts w:ascii="Times New Roman" w:hAnsi="Times New Roman"/>
          <w:bCs/>
          <w:szCs w:val="21"/>
        </w:rPr>
        <w:t>、</w:t>
      </w:r>
      <w:r w:rsidRPr="00FA0B7E">
        <w:rPr>
          <w:rFonts w:ascii="Times New Roman" w:hAnsi="Times New Roman" w:hint="eastAsia"/>
          <w:bCs/>
          <w:szCs w:val="21"/>
        </w:rPr>
        <w:t>基金托管人根据有关规定有权对基金管理人进行以下事项监督：</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1</w:t>
      </w:r>
      <w:r w:rsidRPr="00FA0B7E">
        <w:rPr>
          <w:rFonts w:ascii="Times New Roman" w:hAnsi="Times New Roman" w:hint="eastAsia"/>
          <w:bCs/>
          <w:szCs w:val="21"/>
        </w:rPr>
        <w:t>）本基金投资流通受限证券时的法律法规遵守情况。</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2</w:t>
      </w:r>
      <w:r w:rsidRPr="00FA0B7E">
        <w:rPr>
          <w:rFonts w:ascii="Times New Roman" w:hAnsi="Times New Roman" w:hint="eastAsia"/>
          <w:bCs/>
          <w:szCs w:val="21"/>
        </w:rPr>
        <w:t>）在基金投资流通受限证券管理工作方面有关制度、流动性风险处置预案的建立与完善情况。</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3</w:t>
      </w:r>
      <w:r w:rsidRPr="00FA0B7E">
        <w:rPr>
          <w:rFonts w:ascii="Times New Roman" w:hAnsi="Times New Roman" w:hint="eastAsia"/>
          <w:bCs/>
          <w:szCs w:val="21"/>
        </w:rPr>
        <w:t>）有关比例限制的执行情况。</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4</w:t>
      </w:r>
      <w:r w:rsidRPr="00FA0B7E">
        <w:rPr>
          <w:rFonts w:ascii="Times New Roman" w:hAnsi="Times New Roman" w:hint="eastAsia"/>
          <w:bCs/>
          <w:szCs w:val="21"/>
        </w:rPr>
        <w:t>）信息披露情况。</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6</w:t>
      </w:r>
      <w:r w:rsidR="00E026C9">
        <w:rPr>
          <w:rFonts w:ascii="Times New Roman" w:hAnsi="Times New Roman"/>
          <w:bCs/>
          <w:szCs w:val="21"/>
        </w:rPr>
        <w:t>、</w:t>
      </w:r>
      <w:r w:rsidRPr="00FA0B7E">
        <w:rPr>
          <w:rFonts w:ascii="Times New Roman" w:hAnsi="Times New Roman" w:hint="eastAsia"/>
          <w:bCs/>
          <w:szCs w:val="21"/>
        </w:rPr>
        <w:t>相关法律法规对基金投资流通受限证券有新规定的，从其规定。</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（六）基金投资中小企业私募债券，基金管理人应根据审慎原则，制定严格的投资决策流程、风险控制制度和信用风险、流动性风险处置预案，并经董事会批准，以防范信用风险、流动性风险等各种风险。</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（十）若基金托管人发现基金管理人依据交易程序已经生效的指令违反法律、行政法规和其他有关规定，或者违反《基金合同》约定的，应当立即通知基金管理人，由此造成的损失由基金管理人承担。</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十一）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rsidR="0087107D" w:rsidRPr="000C5983" w:rsidRDefault="00FA0B7E" w:rsidP="000C5983">
      <w:pPr>
        <w:pStyle w:val="a5"/>
        <w:spacing w:after="240"/>
      </w:pPr>
      <w:bookmarkStart w:id="3" w:name="_Toc457223658"/>
      <w:r w:rsidRPr="00FA0B7E">
        <w:rPr>
          <w:rFonts w:hint="eastAsia"/>
          <w:sz w:val="21"/>
          <w:szCs w:val="21"/>
        </w:rPr>
        <w:t>四、基金管理人对基金托管人的业务核查</w:t>
      </w:r>
      <w:bookmarkEnd w:id="3"/>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87107D" w:rsidRPr="00AB1F9E" w:rsidRDefault="00FA0B7E" w:rsidP="000C5983">
      <w:pPr>
        <w:pStyle w:val="a5"/>
        <w:spacing w:after="240"/>
        <w:rPr>
          <w:sz w:val="21"/>
          <w:szCs w:val="21"/>
        </w:rPr>
      </w:pPr>
      <w:bookmarkStart w:id="4" w:name="_Toc457223659"/>
      <w:r w:rsidRPr="00FA0B7E">
        <w:rPr>
          <w:rFonts w:hint="eastAsia"/>
          <w:sz w:val="21"/>
          <w:szCs w:val="21"/>
        </w:rPr>
        <w:t>五、基金财产的保管</w:t>
      </w:r>
      <w:bookmarkEnd w:id="4"/>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（一）基金财产保管的原则</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基金财产应独立于基金管理人、基金托管人的固有财产。</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基金托管人应安全保管基金财产。</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基金托管人按照规定开设基金财产的资金账户和证券账户。</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基金托管人对所托管的不同基金财产分别设置账户，确保基金财产的完整与独立。</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5</w:t>
      </w:r>
      <w:r w:rsidR="00E026C9">
        <w:rPr>
          <w:rFonts w:ascii="Times New Roman" w:hAnsi="Times New Roman"/>
          <w:bCs/>
          <w:szCs w:val="21"/>
        </w:rPr>
        <w:t>、</w:t>
      </w:r>
      <w:r w:rsidRPr="00FA0B7E">
        <w:rPr>
          <w:rFonts w:ascii="Times New Roman" w:hAnsi="Times New Roman" w:hint="eastAsia"/>
          <w:bCs/>
          <w:szCs w:val="21"/>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托管资产开户银行扣收结算费和账户维护费等费用）。</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6</w:t>
      </w:r>
      <w:r w:rsidR="00E026C9">
        <w:rPr>
          <w:rFonts w:ascii="Times New Roman" w:hAnsi="Times New Roman"/>
          <w:bCs/>
          <w:szCs w:val="21"/>
        </w:rPr>
        <w:t>、</w:t>
      </w:r>
      <w:r w:rsidRPr="00FA0B7E">
        <w:rPr>
          <w:rFonts w:ascii="Times New Roman" w:hAnsi="Times New Roman" w:hint="eastAsia"/>
          <w:bCs/>
          <w:szCs w:val="21"/>
        </w:rPr>
        <w:t>对于因为基金投资产生的应收资产，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7</w:t>
      </w:r>
      <w:r w:rsidR="00E026C9">
        <w:rPr>
          <w:rFonts w:ascii="Times New Roman" w:hAnsi="Times New Roman"/>
          <w:bCs/>
          <w:szCs w:val="21"/>
        </w:rPr>
        <w:t>、</w:t>
      </w:r>
      <w:r w:rsidRPr="00FA0B7E">
        <w:rPr>
          <w:rFonts w:ascii="Times New Roman" w:hAnsi="Times New Roman" w:hint="eastAsia"/>
          <w:bCs/>
          <w:szCs w:val="21"/>
        </w:rPr>
        <w:t>除依据法律法规和《基金合同》的规定外，基金托管人不得委托第三人托管基金财产。</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（二）基金募集期间及募集资金的验资</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基金募集期间募集的资金应存于基金管理人在基金托管人的营业机构开立的“基金募集专户”。该账户由基金管理人开立并管理。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FA0B7E">
        <w:rPr>
          <w:rFonts w:ascii="Times New Roman" w:hAnsi="Times New Roman"/>
          <w:bCs/>
          <w:szCs w:val="21"/>
        </w:rPr>
        <w:t>2</w:t>
      </w:r>
      <w:r w:rsidRPr="00FA0B7E">
        <w:rPr>
          <w:rFonts w:ascii="Times New Roman" w:hAnsi="Times New Roman" w:hint="eastAsia"/>
          <w:bCs/>
          <w:szCs w:val="21"/>
        </w:rPr>
        <w:t>名或</w:t>
      </w:r>
      <w:r w:rsidRPr="00FA0B7E">
        <w:rPr>
          <w:rFonts w:ascii="Times New Roman" w:hAnsi="Times New Roman"/>
          <w:bCs/>
          <w:szCs w:val="21"/>
        </w:rPr>
        <w:t>2</w:t>
      </w:r>
      <w:r w:rsidRPr="00FA0B7E">
        <w:rPr>
          <w:rFonts w:ascii="Times New Roman" w:hAnsi="Times New Roman" w:hint="eastAsia"/>
          <w:bCs/>
          <w:szCs w:val="21"/>
        </w:rPr>
        <w:t>名以上中国注册会计师签字方为有效。</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若基金募集期限届满，未能达到《基金合同》生效的条件，由基金管理人按规定办理退款等事宜。</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（三）基金银行账户的开立和管理</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基金托管人可以基金的名义在其营业机构开立基金的银行账户，并根据基金管理人合法合规的指令办理资金收付。本基金的银行预留印鉴由基金托管人保管和使用。</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基金银行账户的开立和管理应符合银行业监督管理机构的有关规定。</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在符合法律法规规定的条件下，基金托管人可以通过基金托管人专用账户办理基金资产的支付。</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（四）基金证券账户和结算备付金账户的开立和管理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基金托管人在中国证券登记结算有限责任公司上海分公司、深圳分公司为基金开立基金托管人与基金联名的证券账户。</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基金证券账户的开立和证券账户卡的保管由基金托管人负责，账户资产的管理和运用由基金管理人负责。</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5</w:t>
      </w:r>
      <w:r w:rsidR="00E026C9">
        <w:rPr>
          <w:rFonts w:ascii="Times New Roman" w:hAnsi="Times New Roman"/>
          <w:bCs/>
          <w:szCs w:val="21"/>
        </w:rPr>
        <w:t>、</w:t>
      </w:r>
      <w:r w:rsidRPr="00FA0B7E">
        <w:rPr>
          <w:rFonts w:ascii="Times New Roman" w:hAnsi="Times New Roman" w:hint="eastAsia"/>
          <w:bCs/>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（五）债券托管专户的开设和管理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（六）其他账户的开立和管理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法律法规等有关规定对相关账户的开立和管理另有规定的，从其规定办理。</w:t>
      </w:r>
    </w:p>
    <w:p w:rsidR="00FA0B7E" w:rsidRPr="00FA0B7E" w:rsidRDefault="00FA0B7E" w:rsidP="00426BD1">
      <w:pPr>
        <w:spacing w:line="360" w:lineRule="auto"/>
        <w:ind w:firstLineChars="200" w:firstLine="420"/>
        <w:rPr>
          <w:rFonts w:ascii="Times New Roman" w:hAnsi="Times New Roman"/>
          <w:bCs/>
          <w:szCs w:val="21"/>
        </w:rPr>
      </w:pPr>
      <w:r w:rsidRPr="00FA0B7E">
        <w:rPr>
          <w:rFonts w:ascii="Times New Roman" w:hAnsi="Times New Roman" w:hint="eastAsia"/>
          <w:bCs/>
          <w:szCs w:val="21"/>
        </w:rPr>
        <w:t>（七）基金财产投资的有关有价凭证等的保管基金财产投资的有关实物证券、银行存款开户证实书等有价凭证由基金托管人存放于基金托管人的保管库，也可存入中央国债登记结算有限责任公司、中国证券登记结算有限责任公司上海分公司</w:t>
      </w:r>
      <w:r w:rsidRPr="00FA0B7E">
        <w:rPr>
          <w:rFonts w:ascii="Times New Roman" w:hAnsi="Times New Roman"/>
          <w:bCs/>
          <w:szCs w:val="21"/>
        </w:rPr>
        <w:t>/</w:t>
      </w:r>
      <w:r w:rsidRPr="00FA0B7E">
        <w:rPr>
          <w:rFonts w:ascii="Times New Roman" w:hAnsi="Times New Roman" w:hint="eastAsia"/>
          <w:bCs/>
          <w:szCs w:val="21"/>
        </w:rPr>
        <w:t>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（八）与基金财产有关的重大合同的保管</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FA0B7E">
        <w:rPr>
          <w:rFonts w:ascii="Times New Roman" w:hAnsi="Times New Roman"/>
          <w:bCs/>
          <w:szCs w:val="21"/>
        </w:rPr>
        <w:t>15</w:t>
      </w:r>
      <w:r w:rsidRPr="00FA0B7E">
        <w:rPr>
          <w:rFonts w:ascii="Times New Roman" w:hAnsi="Times New Roman" w:hint="eastAsia"/>
          <w:bCs/>
          <w:szCs w:val="21"/>
        </w:rPr>
        <w:t>年。</w:t>
      </w:r>
    </w:p>
    <w:p w:rsidR="0087107D" w:rsidRPr="00AB1F9E" w:rsidRDefault="00FA0B7E" w:rsidP="000F0BD1">
      <w:pPr>
        <w:pStyle w:val="a5"/>
        <w:spacing w:after="240"/>
        <w:rPr>
          <w:sz w:val="21"/>
          <w:szCs w:val="21"/>
        </w:rPr>
      </w:pPr>
      <w:bookmarkStart w:id="5" w:name="_Toc457223660"/>
      <w:r w:rsidRPr="00FA0B7E">
        <w:rPr>
          <w:rFonts w:hint="eastAsia"/>
          <w:sz w:val="21"/>
          <w:szCs w:val="21"/>
        </w:rPr>
        <w:t>六、指令的发送、确认及执行</w:t>
      </w:r>
      <w:bookmarkEnd w:id="5"/>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基金管理人在运用基金财产时向基金托管人发送资金划拨及其他款项付款指令，基金托管人执行基金管理人的指令、办理基金名下的资金往来等有关事项。</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（一）基金管理人对发送指令人员的书面授权</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基金管理人应指定专人向基金托管人发送指令。</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基金管理人应向基金托管人提供书面授权文件，内容包括被授权人名单、预留印鉴及被授权人签字或盖章样本，授权文件应注明被授权人相应的权限。</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基金管理人和基金托管人对授权文件负有保密义务，其内容不得向被授权人</w:t>
      </w:r>
    </w:p>
    <w:p w:rsidR="00FA0B7E" w:rsidRPr="00FA0B7E" w:rsidRDefault="00FA0B7E" w:rsidP="00426BD1">
      <w:pPr>
        <w:spacing w:line="360" w:lineRule="auto"/>
        <w:ind w:left="-6" w:firstLineChars="200" w:firstLine="420"/>
        <w:rPr>
          <w:rFonts w:ascii="Times New Roman" w:hAnsi="Times New Roman"/>
          <w:bCs/>
          <w:szCs w:val="21"/>
        </w:rPr>
      </w:pPr>
      <w:r w:rsidRPr="00FA0B7E">
        <w:rPr>
          <w:rFonts w:ascii="Times New Roman" w:hAnsi="Times New Roman" w:hint="eastAsia"/>
          <w:bCs/>
          <w:szCs w:val="21"/>
        </w:rPr>
        <w:t>及相关操作人员以外的任何人泄露。但法律法规规定或有权机关要求的除外。</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（二）指令的内容</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指令包括付款指令以及其他资金划拨指令等。</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基金管理人发给基金托管人的指令应写明款项事由、到账时间、金额、账户等，加盖预留印鉴并由被授权人签字或盖章。</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（三）指令的发送、确认及执行的时间和程序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指令的发送</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基金管理人发送指令应采用传真方式或双方协商一致的其他方式。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指令发出后，基金管理人应及时以电话方式或者双方认可的其他方式向基金托管人确认。</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应在交易结束后将银行间同业市场债券交易成交单加盖印章后及时传真给基金托管人，并以电话或者双方认可的其他方式确认。如果银行间簿记系统已经生成的交易需要取消或终止，基金管理人以书面或者双方认可的其他方式通知基金托管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指令的确认</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应指定专人接收基金管理人的指令，预先通知基金管理人其名单，并与基金管理人商定指令发送和接收方式。指令到达基金托管人后，基金托管人应指定专人立即审慎验证有关内容及印鉴和签名，如有疑问必须及时通知基金管理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指令的时间和执行</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基金管理人尽量于划款前</w:t>
      </w:r>
      <w:r w:rsidRPr="00FA0B7E">
        <w:rPr>
          <w:rFonts w:ascii="Times New Roman" w:hAnsi="Times New Roman"/>
          <w:bCs/>
          <w:szCs w:val="21"/>
        </w:rPr>
        <w:t>1</w:t>
      </w:r>
      <w:r w:rsidRPr="00FA0B7E">
        <w:rPr>
          <w:rFonts w:ascii="Times New Roman" w:hAnsi="Times New Roman" w:hint="eastAsia"/>
          <w:bCs/>
          <w:szCs w:val="21"/>
        </w:rPr>
        <w:t>个工作日向基金托管人发送指令并确认。对于要求当天到账的指令，必须在当天</w:t>
      </w:r>
      <w:r w:rsidRPr="00FA0B7E">
        <w:rPr>
          <w:rFonts w:ascii="Times New Roman" w:hAnsi="Times New Roman"/>
          <w:bCs/>
          <w:szCs w:val="21"/>
        </w:rPr>
        <w:t>15:30</w:t>
      </w:r>
      <w:r w:rsidRPr="00FA0B7E">
        <w:rPr>
          <w:rFonts w:ascii="Times New Roman" w:hAnsi="Times New Roman" w:hint="eastAsia"/>
          <w:bCs/>
          <w:szCs w:val="21"/>
        </w:rPr>
        <w:t>前向基金托管人发送，</w:t>
      </w:r>
      <w:r w:rsidRPr="00FA0B7E">
        <w:rPr>
          <w:rFonts w:ascii="Times New Roman" w:hAnsi="Times New Roman"/>
          <w:bCs/>
          <w:szCs w:val="21"/>
        </w:rPr>
        <w:t>15:30</w:t>
      </w:r>
      <w:r w:rsidRPr="00FA0B7E">
        <w:rPr>
          <w:rFonts w:ascii="Times New Roman" w:hAnsi="Times New Roman" w:hint="eastAsia"/>
          <w:bCs/>
          <w:szCs w:val="21"/>
        </w:rPr>
        <w:t>之后发送的，基金托管人尽力执行，但不能保证划账成功。如果要求当天某一时点到账的指令，则指令需要提前</w:t>
      </w:r>
      <w:r w:rsidRPr="00FA0B7E">
        <w:rPr>
          <w:rFonts w:ascii="Times New Roman" w:hAnsi="Times New Roman"/>
          <w:bCs/>
          <w:szCs w:val="21"/>
        </w:rPr>
        <w:t>2</w:t>
      </w:r>
      <w:r w:rsidRPr="00FA0B7E">
        <w:rPr>
          <w:rFonts w:ascii="Times New Roman" w:hAnsi="Times New Roman" w:hint="eastAsia"/>
          <w:bCs/>
          <w:szCs w:val="21"/>
        </w:rPr>
        <w:t>个工作小时发送，并相关付款条件已经具备。基金托管人将视付款条件具备时为指令送达时间。对新股申购网下发行业务，基金管理人应在网下申购缴款日（</w:t>
      </w:r>
      <w:r w:rsidRPr="00FA0B7E">
        <w:rPr>
          <w:rFonts w:ascii="Times New Roman" w:hAnsi="Times New Roman"/>
          <w:bCs/>
          <w:szCs w:val="21"/>
        </w:rPr>
        <w:t>T</w:t>
      </w:r>
      <w:r w:rsidRPr="00FA0B7E">
        <w:rPr>
          <w:rFonts w:ascii="Times New Roman" w:hAnsi="Times New Roman" w:hint="eastAsia"/>
          <w:bCs/>
          <w:szCs w:val="21"/>
        </w:rPr>
        <w:t>日）的前一工作日下班前将指令发送给基金托管人，指令发送时间最迟不应晚于</w:t>
      </w:r>
      <w:r w:rsidRPr="00FA0B7E">
        <w:rPr>
          <w:rFonts w:ascii="Times New Roman" w:hAnsi="Times New Roman"/>
          <w:bCs/>
          <w:szCs w:val="21"/>
        </w:rPr>
        <w:t>T</w:t>
      </w:r>
      <w:r w:rsidRPr="00FA0B7E">
        <w:rPr>
          <w:rFonts w:ascii="Times New Roman" w:hAnsi="Times New Roman" w:hint="eastAsia"/>
          <w:bCs/>
          <w:szCs w:val="21"/>
        </w:rPr>
        <w:t>日上午</w:t>
      </w:r>
      <w:r w:rsidRPr="00FA0B7E">
        <w:rPr>
          <w:rFonts w:ascii="Times New Roman" w:hAnsi="Times New Roman"/>
          <w:bCs/>
          <w:szCs w:val="21"/>
        </w:rPr>
        <w:t>10:00</w:t>
      </w:r>
      <w:r w:rsidRPr="00FA0B7E">
        <w:rPr>
          <w:rFonts w:ascii="Times New Roman" w:hAnsi="Times New Roman" w:hint="eastAsia"/>
          <w:bCs/>
          <w:szCs w:val="21"/>
        </w:rPr>
        <w:t>。对于中国证券登记结算有限责任公司实行</w:t>
      </w:r>
      <w:r w:rsidRPr="00FA0B7E">
        <w:rPr>
          <w:rFonts w:ascii="Times New Roman" w:hAnsi="Times New Roman"/>
          <w:bCs/>
          <w:szCs w:val="21"/>
        </w:rPr>
        <w:t>T+0</w:t>
      </w:r>
      <w:r w:rsidRPr="00FA0B7E">
        <w:rPr>
          <w:rFonts w:ascii="Times New Roman" w:hAnsi="Times New Roman" w:hint="eastAsia"/>
          <w:bCs/>
          <w:szCs w:val="21"/>
        </w:rPr>
        <w:t>非担保交收的业务，基金管理人应在交易日</w:t>
      </w:r>
      <w:r w:rsidRPr="00FA0B7E">
        <w:rPr>
          <w:rFonts w:ascii="Times New Roman" w:hAnsi="Times New Roman"/>
          <w:bCs/>
          <w:szCs w:val="21"/>
        </w:rPr>
        <w:t>14:00</w:t>
      </w:r>
      <w:r w:rsidRPr="00FA0B7E">
        <w:rPr>
          <w:rFonts w:ascii="Times New Roman" w:hAnsi="Times New Roman" w:hint="eastAsia"/>
          <w:bCs/>
          <w:szCs w:val="21"/>
        </w:rPr>
        <w:t>前将划款指令发送至托管人。因基金管理人指令传输不及时，致使资金未能及时划入中登公司所造成的损失由基金管理人承担，包括由于目前沪深市场</w:t>
      </w:r>
      <w:r w:rsidRPr="00FA0B7E">
        <w:rPr>
          <w:rFonts w:ascii="Times New Roman" w:hAnsi="Times New Roman"/>
          <w:bCs/>
          <w:szCs w:val="21"/>
        </w:rPr>
        <w:t>T+0</w:t>
      </w:r>
      <w:r w:rsidRPr="00FA0B7E">
        <w:rPr>
          <w:rFonts w:ascii="Times New Roman" w:hAnsi="Times New Roman" w:hint="eastAsia"/>
          <w:bCs/>
          <w:szCs w:val="21"/>
        </w:rPr>
        <w:t>非担保交收规则下，可能产生的引起其他托管客户交易失败、占用结算参与人最低备付金带来的利息损失。若沪深市场</w:t>
      </w:r>
      <w:r w:rsidRPr="00FA0B7E">
        <w:rPr>
          <w:rFonts w:ascii="Times New Roman" w:hAnsi="Times New Roman"/>
          <w:bCs/>
          <w:szCs w:val="21"/>
        </w:rPr>
        <w:t>T+0</w:t>
      </w:r>
      <w:r w:rsidRPr="00FA0B7E">
        <w:rPr>
          <w:rFonts w:ascii="Times New Roman" w:hAnsi="Times New Roman" w:hint="eastAsia"/>
          <w:bCs/>
          <w:szCs w:val="21"/>
        </w:rPr>
        <w:t>非担保交收规则调整，则此条款内容相应调整。基金管理人应确保基金托管人在执行指令时，基金资金账户有足够的资金余额，在基金资金头寸充足的情况下，基金托管人对基金管理人符合法律法规、《基金合同》、本协议的指令不得拖延或拒绝执行。</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（四）基金管理人发送错误指令的情形和处理程序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基金管理人发送错误指令的情形包括指令违反法律法规和《基金合同》，指令发送人员无权或超越权限发送指令。</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基金托管人在履行监督职能时，发现基金管理人的指令错误时，有权拒绝执行，并及时通知基金管理人改正。如需撤销指令，基金管理人应出具书面说明，并加盖业务用章。</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（五）基金托管人依照法律法规暂缓、拒绝执行指令的情形和处理程序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若基金托管人发现基金管理人的指令违反法律法规，或者违反《基金合同》约定的，应当拒绝执行，立即通知基金管理人。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（六）基金托管人未按照基金管理人指令执行的处理方法</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基金托管人由于自身原因，未按照基金管理人发送的指令执行并对基金财产</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或投资人造成的直接损失，由基金托管人赔偿由此造成的直接损失。</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（七）更换被授权人员的程序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以双方认可的方式通知基金管理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（八）其他事项</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基金参与认购未上市债券时，基金管理人应代表本基金与对手方签署相关合同或协议，明确约定债券过户具体事宜。否则，基金管理人需对所认购债券的过户事宜承担相应责任。</w:t>
      </w:r>
    </w:p>
    <w:p w:rsidR="0087107D" w:rsidRPr="00AB1F9E" w:rsidRDefault="00FA0B7E" w:rsidP="00876445">
      <w:pPr>
        <w:pStyle w:val="a5"/>
        <w:spacing w:after="240"/>
        <w:rPr>
          <w:sz w:val="21"/>
          <w:szCs w:val="21"/>
        </w:rPr>
      </w:pPr>
      <w:bookmarkStart w:id="6" w:name="_Toc457223661"/>
      <w:r w:rsidRPr="00FA0B7E">
        <w:rPr>
          <w:rFonts w:hint="eastAsia"/>
          <w:sz w:val="21"/>
          <w:szCs w:val="21"/>
        </w:rPr>
        <w:t>七、交易及清算交收安排</w:t>
      </w:r>
      <w:bookmarkEnd w:id="6"/>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（一）选择证券买卖的证券经营机构</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（二）基金投资证券后的清算交收安排</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清算与交割</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基金管理人与基金托管人应根据有关法律法规及相关业务规则，签订《托管银行证券资金结算协议》，用以具体明确基金管理人与基金托管人在证券交易资金结算业务中的责任。</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根据中国证券登记结算有限责任公司规定，在每月前</w:t>
      </w:r>
      <w:r w:rsidRPr="00FA0B7E">
        <w:rPr>
          <w:rFonts w:ascii="Times New Roman" w:hAnsi="Times New Roman"/>
          <w:bCs/>
          <w:szCs w:val="21"/>
        </w:rPr>
        <w:t>3</w:t>
      </w:r>
      <w:r w:rsidRPr="00FA0B7E">
        <w:rPr>
          <w:rFonts w:ascii="Times New Roman" w:hAnsi="Times New Roman" w:hint="eastAsia"/>
          <w:bCs/>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并按照基金托管人与基金管理人签订的《托管银行证券资金结算协议》处理解决。</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基金管理人应采取合理、必要措施，确保每日有足够的资金头寸完成当日的投资交易资金结算；如因基金管理人原因导致资金头寸不足，对于交易所场内交易，基金管理人应在交收日上午</w:t>
      </w:r>
      <w:r w:rsidRPr="00FA0B7E">
        <w:rPr>
          <w:rFonts w:ascii="Times New Roman" w:hAnsi="Times New Roman"/>
          <w:bCs/>
          <w:szCs w:val="21"/>
        </w:rPr>
        <w:t>12:00</w:t>
      </w:r>
      <w:r w:rsidRPr="00FA0B7E">
        <w:rPr>
          <w:rFonts w:ascii="Times New Roman" w:hAnsi="Times New Roman" w:hint="eastAsia"/>
          <w:bCs/>
          <w:szCs w:val="21"/>
        </w:rPr>
        <w:t>前补足透支款项，确保资金清算。如果未遵循上述规定备足资金头寸，影响基金资产的清算交收及基金托管人与中国证券登记结算有限责任公司之间的一级清算，并按照基金托管人与基金管理人签订的《托管银行证券资金结算协议》处理解决。</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实行场内</w:t>
      </w:r>
      <w:r w:rsidRPr="00FA0B7E">
        <w:rPr>
          <w:rFonts w:ascii="Times New Roman" w:hAnsi="Times New Roman"/>
          <w:bCs/>
          <w:szCs w:val="21"/>
        </w:rPr>
        <w:t>T+0</w:t>
      </w:r>
      <w:r w:rsidRPr="00FA0B7E">
        <w:rPr>
          <w:rFonts w:ascii="Times New Roman" w:hAnsi="Times New Roman" w:hint="eastAsia"/>
          <w:bCs/>
          <w:szCs w:val="21"/>
        </w:rPr>
        <w:t>交收的资金清算按照基金托管人的相关规定流程执行。</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交易记录、资金和证券账目核对的时间和方式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1</w:t>
      </w:r>
      <w:r w:rsidRPr="00FA0B7E">
        <w:rPr>
          <w:rFonts w:ascii="Times New Roman" w:hAnsi="Times New Roman" w:hint="eastAsia"/>
          <w:bCs/>
          <w:szCs w:val="21"/>
        </w:rPr>
        <w:t>）交易记录的核对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2</w:t>
      </w:r>
      <w:r w:rsidRPr="00FA0B7E">
        <w:rPr>
          <w:rFonts w:ascii="Times New Roman" w:hAnsi="Times New Roman" w:hint="eastAsia"/>
          <w:bCs/>
          <w:szCs w:val="21"/>
        </w:rPr>
        <w:t>）资金账目的核对</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资金账目按日核实。</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3</w:t>
      </w:r>
      <w:r w:rsidRPr="00FA0B7E">
        <w:rPr>
          <w:rFonts w:ascii="Times New Roman" w:hAnsi="Times New Roman" w:hint="eastAsia"/>
          <w:bCs/>
          <w:szCs w:val="21"/>
        </w:rPr>
        <w:t>）证券账目的核对</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基金管理人和基金托管人每交易日结束后核对基金证券账目，确保双方账目相符。</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（三）基金申购和赎回业务处理的基本规定</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基金份额申购、赎回的确认、清算由基金管理人或其委托的登记机构负责。</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基金管理人应保证本基金（或本基金管理人委托）的登记机构每个工作日</w:t>
      </w:r>
      <w:r w:rsidRPr="00FA0B7E">
        <w:rPr>
          <w:rFonts w:ascii="Times New Roman" w:hAnsi="Times New Roman"/>
          <w:bCs/>
          <w:szCs w:val="21"/>
        </w:rPr>
        <w:t>15:00</w:t>
      </w:r>
      <w:r w:rsidRPr="00FA0B7E">
        <w:rPr>
          <w:rFonts w:ascii="Times New Roman" w:hAnsi="Times New Roman" w:hint="eastAsia"/>
          <w:bCs/>
          <w:szCs w:val="21"/>
        </w:rPr>
        <w:t>前向基金托管人发送前一开放日上述有关数据，并保证相关数据的准确、完整。</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5</w:t>
      </w:r>
      <w:r w:rsidR="00E026C9">
        <w:rPr>
          <w:rFonts w:ascii="Times New Roman" w:hAnsi="Times New Roman"/>
          <w:bCs/>
          <w:szCs w:val="21"/>
        </w:rPr>
        <w:t>、</w:t>
      </w:r>
      <w:r w:rsidRPr="00FA0B7E">
        <w:rPr>
          <w:rFonts w:ascii="Times New Roman" w:hAnsi="Times New Roman" w:hint="eastAsia"/>
          <w:bCs/>
          <w:szCs w:val="21"/>
        </w:rPr>
        <w:t>如基金管理人委托其他机构办理本基金的登记业务，应保证上述相关事宜按时进行。否则，由基金管理人承担相应的责任。</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6</w:t>
      </w:r>
      <w:r w:rsidR="00E026C9">
        <w:rPr>
          <w:rFonts w:ascii="Times New Roman" w:hAnsi="Times New Roman"/>
          <w:bCs/>
          <w:szCs w:val="21"/>
        </w:rPr>
        <w:t>、</w:t>
      </w:r>
      <w:r w:rsidRPr="00FA0B7E">
        <w:rPr>
          <w:rFonts w:ascii="Times New Roman" w:hAnsi="Times New Roman" w:hint="eastAsia"/>
          <w:bCs/>
          <w:szCs w:val="21"/>
        </w:rPr>
        <w:t>关于清算专用账户的设立和管理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为满足申购、赎回及分红资金汇划的需要，由基金管理人开立资金清算的专用账户，该账户由登记机构管理。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7</w:t>
      </w:r>
      <w:r w:rsidR="00E026C9">
        <w:rPr>
          <w:rFonts w:ascii="Times New Roman" w:hAnsi="Times New Roman"/>
          <w:bCs/>
          <w:szCs w:val="21"/>
        </w:rPr>
        <w:t>、</w:t>
      </w:r>
      <w:r w:rsidRPr="00FA0B7E">
        <w:rPr>
          <w:rFonts w:ascii="Times New Roman" w:hAnsi="Times New Roman" w:hint="eastAsia"/>
          <w:bCs/>
          <w:szCs w:val="2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8</w:t>
      </w:r>
      <w:r w:rsidR="00E026C9">
        <w:rPr>
          <w:rFonts w:ascii="Times New Roman" w:hAnsi="Times New Roman"/>
          <w:bCs/>
          <w:szCs w:val="21"/>
        </w:rPr>
        <w:t>、</w:t>
      </w:r>
      <w:r w:rsidRPr="00FA0B7E">
        <w:rPr>
          <w:rFonts w:ascii="Times New Roman" w:hAnsi="Times New Roman" w:hint="eastAsia"/>
          <w:bCs/>
          <w:szCs w:val="21"/>
        </w:rPr>
        <w:t>赎回和分红资金划拨规定</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9</w:t>
      </w:r>
      <w:r w:rsidR="00E026C9">
        <w:rPr>
          <w:rFonts w:ascii="Times New Roman" w:hAnsi="Times New Roman"/>
          <w:bCs/>
          <w:szCs w:val="21"/>
        </w:rPr>
        <w:t>、</w:t>
      </w:r>
      <w:r w:rsidRPr="00FA0B7E">
        <w:rPr>
          <w:rFonts w:ascii="Times New Roman" w:hAnsi="Times New Roman" w:hint="eastAsia"/>
          <w:bCs/>
          <w:szCs w:val="21"/>
        </w:rPr>
        <w:t>资金指令</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除申购款项到达基金资金账户需双方按约定方式对账外，回购到期付款和与投资有关的付款、赎回和分红资金划拨时，基金管理人需向基金托管人下达指令。</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资金指令的格式、内容、发送、接收和确认方式等与投资指令相同。</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（四）申赎净额结算</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基金托管账户与“基金清算账户”间的资金结算遵循</w:t>
      </w:r>
      <w:r w:rsidRPr="00FA0B7E">
        <w:rPr>
          <w:rFonts w:ascii="Times New Roman" w:hAnsi="Times New Roman"/>
          <w:bCs/>
          <w:szCs w:val="21"/>
        </w:rPr>
        <w:t>“</w:t>
      </w:r>
      <w:r w:rsidRPr="00FA0B7E">
        <w:rPr>
          <w:rFonts w:ascii="Times New Roman" w:hAnsi="Times New Roman" w:hint="eastAsia"/>
          <w:bCs/>
          <w:szCs w:val="21"/>
        </w:rPr>
        <w:t>全额清算、净额交收</w:t>
      </w:r>
      <w:r w:rsidRPr="00FA0B7E">
        <w:rPr>
          <w:rFonts w:ascii="Times New Roman" w:hAnsi="Times New Roman"/>
          <w:bCs/>
          <w:szCs w:val="21"/>
        </w:rPr>
        <w:t>”</w:t>
      </w:r>
      <w:r w:rsidRPr="00FA0B7E">
        <w:rPr>
          <w:rFonts w:ascii="Times New Roman" w:hAnsi="Times New Roman" w:hint="eastAsia"/>
          <w:bCs/>
          <w:szCs w:val="21"/>
        </w:rPr>
        <w:t>的原则，每日按照托管账户应收资金与应付资金的差额来确定托管账户净应收额或净应付额，以此确定资金交收额。当存在托管账户净应收额时，基金管理人应在交收日</w:t>
      </w:r>
      <w:r w:rsidRPr="00FA0B7E">
        <w:rPr>
          <w:rFonts w:ascii="Times New Roman" w:hAnsi="Times New Roman"/>
          <w:bCs/>
          <w:szCs w:val="21"/>
        </w:rPr>
        <w:t>15:00</w:t>
      </w:r>
      <w:r w:rsidRPr="00FA0B7E">
        <w:rPr>
          <w:rFonts w:ascii="Times New Roman" w:hAnsi="Times New Roman" w:hint="eastAsia"/>
          <w:bCs/>
          <w:szCs w:val="21"/>
        </w:rPr>
        <w:t>之前从基金清算账户划到基金托管账户；当存在托管账户净应付额时，基金托管人按基金管理人的划款指令将托管账户净应付额在交收日</w:t>
      </w:r>
      <w:r w:rsidRPr="00FA0B7E">
        <w:rPr>
          <w:rFonts w:ascii="Times New Roman" w:hAnsi="Times New Roman"/>
          <w:bCs/>
          <w:szCs w:val="21"/>
        </w:rPr>
        <w:t>12:00</w:t>
      </w:r>
      <w:r w:rsidRPr="00FA0B7E">
        <w:rPr>
          <w:rFonts w:ascii="Times New Roman" w:hAnsi="Times New Roman" w:hint="eastAsia"/>
          <w:bCs/>
          <w:szCs w:val="21"/>
        </w:rPr>
        <w:t>之前划往基金清算账户。特殊情况时，双方协商处理。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（五）基金转换</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在本基金与基金管理人管理的其它基金开展转换业务之前，基金管理人应函告基金托管人并就相关事宜进行协商。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基金托管人将根据基金管理人传送的基金转换数据进行账务处理，具体资金清算和数据传递的时间、程序及托管协议当事人承担的权责按基金管理人届时的公告执行。</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本基金开展基金转换业务应按相关法律法规规定及《基金合同》的约定进行公告。</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（六）基金现金分红</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基金管理人确定分红方案通知基金托管人，双方核定后依照《信息披露办法》的有关规定在指定媒介上公告并报中国证监会备案。</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基金托管人和基金管理人对基金分红进行账务处理并核对后，基金管理人向基金托管人发送现金红利的划款指令，基金托管人应及时将资金划入专用账户。</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基金管理人在下达指令时，应给基金托管人留出必需的划款时间。</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（七）投资银行存款的特别约定</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本基金投资银行存款前，应与基金托管人签署《证券投资基金投资银行定期存款风险控制补充协议》。</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本基金投资银行存款，必须采用双方认可的方式办理。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基金管理人投资银行存款或办理存款支取时，应提前书面通知基金托管人，以便基金托管人有足够的时间履行相应的业务操作程序。</w:t>
      </w:r>
    </w:p>
    <w:p w:rsidR="0087107D" w:rsidRPr="00AB1F9E" w:rsidRDefault="00FA0B7E" w:rsidP="00301D17">
      <w:pPr>
        <w:pStyle w:val="a5"/>
        <w:spacing w:after="240"/>
        <w:rPr>
          <w:sz w:val="21"/>
          <w:szCs w:val="21"/>
        </w:rPr>
      </w:pPr>
      <w:bookmarkStart w:id="7" w:name="_Toc457223662"/>
      <w:r w:rsidRPr="00FA0B7E">
        <w:rPr>
          <w:rFonts w:hint="eastAsia"/>
          <w:sz w:val="21"/>
          <w:szCs w:val="21"/>
        </w:rPr>
        <w:t>八、基金资产净值计算和会计核算</w:t>
      </w:r>
      <w:bookmarkEnd w:id="7"/>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（一）基金资产净值的计算、复核与完成的时间及程序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基金资产净值是指基金资产总值减去负债后的金额。</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基金份额净值是按照每个交易日闭市后，基金资产净值除以当日基金份额的余额数量计算，精确到</w:t>
      </w:r>
      <w:r w:rsidRPr="00FA0B7E">
        <w:rPr>
          <w:rFonts w:ascii="Times New Roman" w:hAnsi="Times New Roman"/>
          <w:bCs/>
          <w:szCs w:val="21"/>
        </w:rPr>
        <w:t>0.001</w:t>
      </w:r>
      <w:r w:rsidRPr="00FA0B7E">
        <w:rPr>
          <w:rFonts w:ascii="Times New Roman" w:hAnsi="Times New Roman" w:hint="eastAsia"/>
          <w:bCs/>
          <w:szCs w:val="21"/>
        </w:rPr>
        <w:t>元，小数点后第四位四舍五入。国家另有规定的，从其规定。每个交易日计算基金资产净值及基金份额净值，并按规定公告。</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按规定对外公布。</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（二）基金资产估值方法和特殊情形的处理</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估值对象</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基金所拥有的股票、权证、债券和银行存款本息、应收款项、其它投资等资产及负债。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估值方法</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1</w:t>
      </w:r>
      <w:r>
        <w:rPr>
          <w:rFonts w:ascii="Times New Roman" w:hAnsi="Times New Roman"/>
          <w:bCs/>
          <w:szCs w:val="21"/>
        </w:rPr>
        <w:t>）</w:t>
      </w:r>
      <w:r w:rsidR="00FA0B7E" w:rsidRPr="00FA0B7E">
        <w:rPr>
          <w:rFonts w:ascii="Times New Roman" w:hAnsi="Times New Roman" w:hint="eastAsia"/>
          <w:bCs/>
          <w:szCs w:val="21"/>
        </w:rPr>
        <w:t>证券交易所上市的有价证券的估值</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5A2D97">
        <w:rPr>
          <w:rFonts w:ascii="Times New Roman" w:hAnsi="Times New Roman"/>
          <w:bCs/>
          <w:szCs w:val="21"/>
        </w:rPr>
        <w:t>）</w:t>
      </w:r>
      <w:r w:rsidRPr="00FA0B7E">
        <w:rPr>
          <w:rFonts w:ascii="Times New Roman" w:hAnsi="Times New Roman" w:hint="eastAsia"/>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5A2D97">
        <w:rPr>
          <w:rFonts w:ascii="Times New Roman" w:hAnsi="Times New Roman"/>
          <w:bCs/>
          <w:szCs w:val="21"/>
        </w:rPr>
        <w:t>）</w:t>
      </w:r>
      <w:r w:rsidRPr="00FA0B7E">
        <w:rPr>
          <w:rFonts w:ascii="Times New Roman" w:hAnsi="Times New Roman" w:hint="eastAsia"/>
          <w:bCs/>
          <w:szCs w:val="21"/>
        </w:rPr>
        <w:t>交易所上市实行净价交易的债券按估值日第三方估值机构提供的相应品种当日的估值净价进行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5A2D97">
        <w:rPr>
          <w:rFonts w:ascii="Times New Roman" w:hAnsi="Times New Roman"/>
          <w:bCs/>
          <w:szCs w:val="21"/>
        </w:rPr>
        <w:t>）</w:t>
      </w:r>
      <w:r w:rsidRPr="00FA0B7E">
        <w:rPr>
          <w:rFonts w:ascii="Times New Roman" w:hAnsi="Times New Roman" w:hint="eastAsia"/>
          <w:bCs/>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5A2D97">
        <w:rPr>
          <w:rFonts w:ascii="Times New Roman" w:hAnsi="Times New Roman"/>
          <w:bCs/>
          <w:szCs w:val="21"/>
        </w:rPr>
        <w:t>）</w:t>
      </w:r>
      <w:r w:rsidRPr="00FA0B7E">
        <w:rPr>
          <w:rFonts w:ascii="Times New Roman" w:hAnsi="Times New Roman" w:hint="eastAsia"/>
          <w:bCs/>
          <w:szCs w:val="21"/>
        </w:rPr>
        <w:t>交易所上市不存在活跃市场的有价证券，采用估值技术确定公允价值。交易所上市的资产支持证券，采用估值技术确定公允价值，在估值技术难以可靠计量公允价值的情况下，按成本估值。</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2</w:t>
      </w:r>
      <w:r>
        <w:rPr>
          <w:rFonts w:ascii="Times New Roman" w:hAnsi="Times New Roman"/>
          <w:bCs/>
          <w:szCs w:val="21"/>
        </w:rPr>
        <w:t>）</w:t>
      </w:r>
      <w:r w:rsidR="00FA0B7E" w:rsidRPr="00FA0B7E">
        <w:rPr>
          <w:rFonts w:ascii="Times New Roman" w:hAnsi="Times New Roman" w:hint="eastAsia"/>
          <w:bCs/>
          <w:szCs w:val="21"/>
        </w:rPr>
        <w:t>处于未上市期间的有价证券应区分如下情况处理：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5A2D97">
        <w:rPr>
          <w:rFonts w:ascii="Times New Roman" w:hAnsi="Times New Roman"/>
          <w:bCs/>
          <w:szCs w:val="21"/>
        </w:rPr>
        <w:t>）</w:t>
      </w:r>
      <w:r w:rsidRPr="00FA0B7E">
        <w:rPr>
          <w:rFonts w:ascii="Times New Roman" w:hAnsi="Times New Roman" w:hint="eastAsia"/>
          <w:bCs/>
          <w:szCs w:val="21"/>
        </w:rPr>
        <w:t>送股、转增股、配股和公开增发的新股，按估值日在证券交易所挂牌的同一股票的估值方法估值；该日无交易的，以最近一日的市价（收盘价）估值</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5A2D97">
        <w:rPr>
          <w:rFonts w:ascii="Times New Roman" w:hAnsi="Times New Roman"/>
          <w:bCs/>
          <w:szCs w:val="21"/>
        </w:rPr>
        <w:t>）</w:t>
      </w:r>
      <w:r w:rsidRPr="00FA0B7E">
        <w:rPr>
          <w:rFonts w:ascii="Times New Roman" w:hAnsi="Times New Roman" w:hint="eastAsia"/>
          <w:bCs/>
          <w:szCs w:val="21"/>
        </w:rPr>
        <w:t>首次公开发行未上市的股票、债券和权证，采用估值技术确定公允价值，在估值技术难以可靠计量公允价值的情况下，按成本估值</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5A2D97">
        <w:rPr>
          <w:rFonts w:ascii="Times New Roman" w:hAnsi="Times New Roman"/>
          <w:bCs/>
          <w:szCs w:val="21"/>
        </w:rPr>
        <w:t>）</w:t>
      </w:r>
      <w:r w:rsidRPr="00FA0B7E">
        <w:rPr>
          <w:rFonts w:ascii="Times New Roman" w:hAnsi="Times New Roman"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3</w:t>
      </w:r>
      <w:r>
        <w:rPr>
          <w:rFonts w:ascii="Times New Roman" w:hAnsi="Times New Roman"/>
          <w:bCs/>
          <w:szCs w:val="21"/>
        </w:rPr>
        <w:t>）</w:t>
      </w:r>
      <w:r w:rsidR="00FA0B7E" w:rsidRPr="00FA0B7E">
        <w:rPr>
          <w:rFonts w:ascii="Times New Roman" w:hAnsi="Times New Roman" w:hint="eastAsia"/>
          <w:bCs/>
          <w:szCs w:val="21"/>
        </w:rPr>
        <w:t>全国银行间债券市场交易的债券、资产支持证券等固定收益品种，采用第三方估值机构提供的价格数据进行估值</w:t>
      </w:r>
      <w:bookmarkStart w:id="8" w:name="_GoBack"/>
      <w:bookmarkEnd w:id="8"/>
      <w:r w:rsidR="00FA0B7E" w:rsidRPr="00FA0B7E">
        <w:rPr>
          <w:rFonts w:ascii="Times New Roman" w:hAnsi="Times New Roman" w:hint="eastAsia"/>
          <w:bCs/>
          <w:szCs w:val="21"/>
        </w:rPr>
        <w:t>。</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4</w:t>
      </w:r>
      <w:r>
        <w:rPr>
          <w:rFonts w:ascii="Times New Roman" w:hAnsi="Times New Roman"/>
          <w:bCs/>
          <w:szCs w:val="21"/>
        </w:rPr>
        <w:t>）</w:t>
      </w:r>
      <w:r w:rsidR="00FA0B7E" w:rsidRPr="00FA0B7E">
        <w:rPr>
          <w:rFonts w:ascii="Times New Roman" w:hAnsi="Times New Roman" w:hint="eastAsia"/>
          <w:bCs/>
          <w:szCs w:val="21"/>
        </w:rPr>
        <w:t>同一债券同时在两个或两个以上市场交易的，按债券所处的市场分别估值。</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5</w:t>
      </w:r>
      <w:r>
        <w:rPr>
          <w:rFonts w:ascii="Times New Roman" w:hAnsi="Times New Roman"/>
          <w:bCs/>
          <w:szCs w:val="21"/>
        </w:rPr>
        <w:t>）</w:t>
      </w:r>
      <w:r w:rsidR="00FA0B7E" w:rsidRPr="00FA0B7E">
        <w:rPr>
          <w:rFonts w:ascii="Times New Roman" w:hAnsi="Times New Roman" w:hint="eastAsia"/>
          <w:bCs/>
          <w:szCs w:val="21"/>
        </w:rPr>
        <w:t>本基金投资的国债期货合约，一般以估值当日结算价进行估值，估值当日无结算价的，且最近交易日后经济环境未发生重大变化的，采用最近交易日结算价估值。</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6</w:t>
      </w:r>
      <w:r>
        <w:rPr>
          <w:rFonts w:ascii="Times New Roman" w:hAnsi="Times New Roman"/>
          <w:bCs/>
          <w:szCs w:val="21"/>
        </w:rPr>
        <w:t>）</w:t>
      </w:r>
      <w:r w:rsidR="00FA0B7E" w:rsidRPr="00FA0B7E">
        <w:rPr>
          <w:rFonts w:ascii="Times New Roman" w:hAnsi="Times New Roman" w:hint="eastAsia"/>
          <w:bCs/>
          <w:szCs w:val="21"/>
        </w:rPr>
        <w:t>中小企业私募债券，采用估值技术确定公允价值，在估值技术难以可靠计量公允价值的情况下，按成本估值。</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7</w:t>
      </w:r>
      <w:r>
        <w:rPr>
          <w:rFonts w:ascii="Times New Roman" w:hAnsi="Times New Roman"/>
          <w:bCs/>
          <w:szCs w:val="21"/>
        </w:rPr>
        <w:t>）</w:t>
      </w:r>
      <w:r w:rsidR="00FA0B7E" w:rsidRPr="00FA0B7E">
        <w:rPr>
          <w:rFonts w:ascii="Times New Roman" w:hAnsi="Times New Roman" w:hint="eastAsia"/>
          <w:bCs/>
          <w:szCs w:val="21"/>
        </w:rPr>
        <w:t>如有确凿证据表明按上述方法进行估值不能客观反映其公允价值的，基金管理人可根据具体情况与基金托管人商定后，按最能反映公允价值的价格估值。</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8</w:t>
      </w:r>
      <w:r>
        <w:rPr>
          <w:rFonts w:ascii="Times New Roman" w:hAnsi="Times New Roman"/>
          <w:bCs/>
          <w:szCs w:val="21"/>
        </w:rPr>
        <w:t>）</w:t>
      </w:r>
      <w:r w:rsidR="00FA0B7E" w:rsidRPr="00FA0B7E">
        <w:rPr>
          <w:rFonts w:ascii="Times New Roman" w:hAnsi="Times New Roman" w:hint="eastAsia"/>
          <w:bCs/>
          <w:szCs w:val="21"/>
        </w:rPr>
        <w:t>其他资产按法律法规或监管机构有关规定进行估值。</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9</w:t>
      </w:r>
      <w:r>
        <w:rPr>
          <w:rFonts w:ascii="Times New Roman" w:hAnsi="Times New Roman"/>
          <w:bCs/>
          <w:szCs w:val="21"/>
        </w:rPr>
        <w:t>）</w:t>
      </w:r>
      <w:r w:rsidR="00FA0B7E" w:rsidRPr="00FA0B7E">
        <w:rPr>
          <w:rFonts w:ascii="Times New Roman" w:hAnsi="Times New Roman" w:hint="eastAsia"/>
          <w:bCs/>
          <w:szCs w:val="21"/>
        </w:rPr>
        <w:t>相关法律法规以及监管部门有强制规定的，从其规定。如有新增事项，按国家最新规定估值。</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特殊情形的处理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基金管理人、基金托管人按估值方法的第（</w:t>
      </w:r>
      <w:r w:rsidRPr="00FA0B7E">
        <w:rPr>
          <w:rFonts w:ascii="Times New Roman" w:hAnsi="Times New Roman"/>
          <w:bCs/>
          <w:szCs w:val="21"/>
        </w:rPr>
        <w:t>7</w:t>
      </w:r>
      <w:r w:rsidRPr="00FA0B7E">
        <w:rPr>
          <w:rFonts w:ascii="Times New Roman" w:hAnsi="Times New Roman" w:hint="eastAsia"/>
          <w:bCs/>
          <w:szCs w:val="21"/>
        </w:rPr>
        <w:t>）项进行估值时，所造成的误差不作为基金份额净值错误处理。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（三）基金份额净值错误的处理方式</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当基金份额净值小数点后</w:t>
      </w:r>
      <w:r w:rsidRPr="00FA0B7E">
        <w:rPr>
          <w:rFonts w:ascii="Times New Roman" w:hAnsi="Times New Roman"/>
          <w:bCs/>
          <w:szCs w:val="21"/>
        </w:rPr>
        <w:t>3</w:t>
      </w:r>
      <w:r w:rsidRPr="00FA0B7E">
        <w:rPr>
          <w:rFonts w:ascii="Times New Roman" w:hAnsi="Times New Roman" w:hint="eastAsia"/>
          <w:bCs/>
          <w:szCs w:val="21"/>
        </w:rPr>
        <w:t>位以内（含第</w:t>
      </w:r>
      <w:r w:rsidRPr="00FA0B7E">
        <w:rPr>
          <w:rFonts w:ascii="Times New Roman" w:hAnsi="Times New Roman"/>
          <w:bCs/>
          <w:szCs w:val="21"/>
        </w:rPr>
        <w:t>3</w:t>
      </w:r>
      <w:r w:rsidRPr="00FA0B7E">
        <w:rPr>
          <w:rFonts w:ascii="Times New Roman" w:hAnsi="Times New Roman" w:hint="eastAsia"/>
          <w:bCs/>
          <w:szCs w:val="21"/>
        </w:rPr>
        <w:t>位）发生差错时，视为基金份额净值错误；基金份额净值出现错误时，基金管理人应当立即予以纠正，通报基金托管人，并采取合理的措施防止损失进一步扩大；错误偏差达到基金份额净值的</w:t>
      </w:r>
      <w:r w:rsidRPr="00FA0B7E">
        <w:rPr>
          <w:rFonts w:ascii="Times New Roman" w:hAnsi="Times New Roman"/>
          <w:bCs/>
          <w:szCs w:val="21"/>
        </w:rPr>
        <w:t>0.25%</w:t>
      </w:r>
      <w:r w:rsidRPr="00FA0B7E">
        <w:rPr>
          <w:rFonts w:ascii="Times New Roman" w:hAnsi="Times New Roman" w:hint="eastAsia"/>
          <w:bCs/>
          <w:szCs w:val="21"/>
        </w:rPr>
        <w:t>时，基金管理人应当通报基金托管人并报中国证监会备案；错误偏差达到基金份额净值的</w:t>
      </w:r>
      <w:r w:rsidRPr="00FA0B7E">
        <w:rPr>
          <w:rFonts w:ascii="Times New Roman" w:hAnsi="Times New Roman"/>
          <w:bCs/>
          <w:szCs w:val="21"/>
        </w:rPr>
        <w:t>0.5%</w:t>
      </w:r>
      <w:r w:rsidRPr="00FA0B7E">
        <w:rPr>
          <w:rFonts w:ascii="Times New Roman" w:hAnsi="Times New Roman" w:hint="eastAsia"/>
          <w:bCs/>
          <w:szCs w:val="21"/>
        </w:rPr>
        <w:t>时，基金管理人应当公告；当发生净值计算错误时，由基金管理人负责处理，由此给基金份额持有人和基金造成损失的，应由基金管理人先行赔付，基金管理人按差错情形，有权向其他当事人追偿。</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当基金份额净值计算差错给基金和基金份额持有人造成损失需要进行赔偿时，基金管理人和基金托管人应根据实际情况界定双方承担的责任，经确认后按以下条款进行赔偿：</w:t>
      </w:r>
    </w:p>
    <w:p w:rsidR="00FA0B7E" w:rsidRPr="00FA0B7E" w:rsidRDefault="00FA0B7E" w:rsidP="00426BD1">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1</w:t>
      </w:r>
      <w:r w:rsidR="005A2D97">
        <w:rPr>
          <w:rFonts w:ascii="Times New Roman" w:hAnsi="Times New Roman" w:hint="eastAsia"/>
          <w:bCs/>
          <w:szCs w:val="21"/>
        </w:rPr>
        <w:t>）</w:t>
      </w:r>
      <w:r w:rsidRPr="00FA0B7E">
        <w:rPr>
          <w:rFonts w:ascii="Times New Roman" w:hAnsi="Times New Roman" w:hint="eastAsia"/>
          <w:bCs/>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2</w:t>
      </w:r>
      <w:r w:rsidRPr="00FA0B7E">
        <w:rPr>
          <w:rFonts w:ascii="Times New Roman" w:hAnsi="Times New Roman" w:hint="eastAsia"/>
          <w:bCs/>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3</w:t>
      </w:r>
      <w:r w:rsidRPr="00FA0B7E">
        <w:rPr>
          <w:rFonts w:ascii="Times New Roman" w:hAnsi="Times New Roman" w:hint="eastAsia"/>
          <w:bCs/>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4</w:t>
      </w:r>
      <w:r w:rsidRPr="00FA0B7E">
        <w:rPr>
          <w:rFonts w:ascii="Times New Roman" w:hAnsi="Times New Roman" w:hint="eastAsia"/>
          <w:bCs/>
          <w:szCs w:val="21"/>
        </w:rPr>
        <w:t>）由于基金管理人提供的信息错误（包括但不限于基金申购或赎回金额等），进而导致基金份额净值计算错误而引起的基金份额持有人和基金财产的损失，由基金管理人负责赔付。</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基金管理人和基金托管人由于各自技术系统设置而产生的净值计算尾差，以基金管理人计算结果为准。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5</w:t>
      </w:r>
      <w:r w:rsidR="00E026C9">
        <w:rPr>
          <w:rFonts w:ascii="Times New Roman" w:hAnsi="Times New Roman"/>
          <w:bCs/>
          <w:szCs w:val="21"/>
        </w:rPr>
        <w:t>、</w:t>
      </w:r>
      <w:r w:rsidRPr="00FA0B7E">
        <w:rPr>
          <w:rFonts w:ascii="Times New Roman" w:hAnsi="Times New Roman" w:hint="eastAsia"/>
          <w:bCs/>
          <w:szCs w:val="21"/>
        </w:rPr>
        <w:t>前述内容如法律法规或者监管部门另有规定的，从其规定。如果行业另有通行做法，双方当事人应本着平等和保护基金份额持有人利益的原则进行协商。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（四）暂停估值与公告基金份额净值的情形</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基金投资所涉及的证券交易市场遇法定节假日或因其他原因暂停营业时</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因不可抗力致使基金管理人、基金托管人无法准确评估基金资产价值时</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占基金相当比例的投资品种的估值出现重大转变，而基金管理人为保障投资人的利益，已决定延迟估值；如果出现基金管理人认为属于紧急事故的任何情况，导致基金管理人不能出售或评估基金资产时</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中国证监会和《基金合同》认定的其他情形。</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（五）基金会计制度</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按国家有关部门规定的会计制度执行。</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（六）基金账册的建立</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（七）基金财务报表与报告的编制和复核</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财务报表的编制</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基金财务报表由基金管理人编制，基金托管人复核。</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报表复核</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基金托管人在收到基金管理人编制的基金财务报表后，进行独立的复核。核对不符时，应及时通知基金管理人共同查出原因，进行调整，直至双方数据完全一致。</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财务报表的编制与复核时间安排</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1</w:t>
      </w:r>
      <w:r w:rsidRPr="00FA0B7E">
        <w:rPr>
          <w:rFonts w:ascii="Times New Roman" w:hAnsi="Times New Roman" w:hint="eastAsia"/>
          <w:bCs/>
          <w:szCs w:val="21"/>
        </w:rPr>
        <w:t>）报表的编制</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基金管理人应当在每月结束后</w:t>
      </w:r>
      <w:r w:rsidRPr="00FA0B7E">
        <w:rPr>
          <w:rFonts w:ascii="Times New Roman" w:hAnsi="Times New Roman"/>
          <w:bCs/>
          <w:szCs w:val="21"/>
        </w:rPr>
        <w:t>5</w:t>
      </w:r>
      <w:r w:rsidRPr="00FA0B7E">
        <w:rPr>
          <w:rFonts w:ascii="Times New Roman" w:hAnsi="Times New Roman" w:hint="eastAsia"/>
          <w:bCs/>
          <w:szCs w:val="21"/>
        </w:rPr>
        <w:t>个工作日内完成月度报表的编制；在每个季度结束之日起</w:t>
      </w:r>
      <w:r w:rsidRPr="00FA0B7E">
        <w:rPr>
          <w:rFonts w:ascii="Times New Roman" w:hAnsi="Times New Roman"/>
          <w:bCs/>
          <w:szCs w:val="21"/>
        </w:rPr>
        <w:t>15</w:t>
      </w:r>
      <w:r w:rsidRPr="00FA0B7E">
        <w:rPr>
          <w:rFonts w:ascii="Times New Roman" w:hAnsi="Times New Roman" w:hint="eastAsia"/>
          <w:bCs/>
          <w:szCs w:val="21"/>
        </w:rPr>
        <w:t>个工作日内完成基金季度报告的编制；在上半年结束之日起</w:t>
      </w:r>
      <w:r w:rsidRPr="00FA0B7E">
        <w:rPr>
          <w:rFonts w:ascii="Times New Roman" w:hAnsi="Times New Roman"/>
          <w:bCs/>
          <w:szCs w:val="21"/>
        </w:rPr>
        <w:t>60</w:t>
      </w:r>
      <w:r w:rsidRPr="00FA0B7E">
        <w:rPr>
          <w:rFonts w:ascii="Times New Roman" w:hAnsi="Times New Roman" w:hint="eastAsia"/>
          <w:bCs/>
          <w:szCs w:val="21"/>
        </w:rPr>
        <w:t>日内完成基金半年度报告的编制；在每年结束之日起</w:t>
      </w:r>
      <w:r w:rsidRPr="00FA0B7E">
        <w:rPr>
          <w:rFonts w:ascii="Times New Roman" w:hAnsi="Times New Roman"/>
          <w:bCs/>
          <w:szCs w:val="21"/>
        </w:rPr>
        <w:t>90</w:t>
      </w:r>
      <w:r w:rsidRPr="00FA0B7E">
        <w:rPr>
          <w:rFonts w:ascii="Times New Roman" w:hAnsi="Times New Roman" w:hint="eastAsia"/>
          <w:bCs/>
          <w:szCs w:val="21"/>
        </w:rPr>
        <w:t>日内完成基金年度报告的编制。基金年度报告的财务会计报告应当经过审计。《基金合同》生效不足两个月的，基金管理人可以不编制当期季度报告、半年度报告或者年度报告。</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2</w:t>
      </w:r>
      <w:r w:rsidRPr="00FA0B7E">
        <w:rPr>
          <w:rFonts w:ascii="Times New Roman" w:hAnsi="Times New Roman" w:hint="eastAsia"/>
          <w:bCs/>
          <w:szCs w:val="21"/>
        </w:rPr>
        <w:t>）报表的复核</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基金管理人应留足充分的时间，便于基金托管人复核相关报表及报告。</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八）在编制季度报告、半年度报告或者年度报告时，如果基金托管人无法取得业绩比较基准的基础数据，或者基金管理人的业绩比较基准编制结果与基金托管人不一致，基金管理人需向基金托管人提供基金业绩比较基准的基础数据。</w:t>
      </w:r>
    </w:p>
    <w:p w:rsidR="0087107D" w:rsidRPr="00AB1F9E" w:rsidRDefault="00FA0B7E" w:rsidP="00C63991">
      <w:pPr>
        <w:pStyle w:val="a5"/>
        <w:spacing w:after="240"/>
        <w:rPr>
          <w:sz w:val="21"/>
          <w:szCs w:val="21"/>
        </w:rPr>
      </w:pPr>
      <w:bookmarkStart w:id="9" w:name="_Toc457223663"/>
      <w:r w:rsidRPr="00FA0B7E">
        <w:rPr>
          <w:rFonts w:hint="eastAsia"/>
          <w:sz w:val="21"/>
          <w:szCs w:val="21"/>
        </w:rPr>
        <w:t>九、基金收益分配</w:t>
      </w:r>
      <w:bookmarkEnd w:id="9"/>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基金收益分配是指按规定将基金的可分配收益按基金份额进行比例分配。</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（一）基金收益分配的原则</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基金收益分配应遵循下列原则：</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同一类别内的每一基金份额享有同等分配权</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在符合有关基金分红条件的前提下，本基金每年收益分配次数最多为</w:t>
      </w:r>
      <w:r w:rsidRPr="00FA0B7E">
        <w:rPr>
          <w:rFonts w:ascii="Times New Roman" w:hAnsi="Times New Roman"/>
          <w:bCs/>
          <w:szCs w:val="21"/>
        </w:rPr>
        <w:t>12</w:t>
      </w:r>
      <w:r w:rsidRPr="00FA0B7E">
        <w:rPr>
          <w:rFonts w:ascii="Times New Roman" w:hAnsi="Times New Roman" w:hint="eastAsia"/>
          <w:bCs/>
          <w:szCs w:val="21"/>
        </w:rPr>
        <w:t>次，每次收益分配比例不得低于该次可供分配利润的</w:t>
      </w:r>
      <w:r w:rsidRPr="00FA0B7E">
        <w:rPr>
          <w:rFonts w:ascii="Times New Roman" w:hAnsi="Times New Roman"/>
          <w:bCs/>
          <w:szCs w:val="21"/>
        </w:rPr>
        <w:t xml:space="preserve"> 20%</w:t>
      </w:r>
      <w:r w:rsidRPr="00FA0B7E">
        <w:rPr>
          <w:rFonts w:ascii="Times New Roman" w:hAnsi="Times New Roman" w:hint="eastAsia"/>
          <w:bCs/>
          <w:szCs w:val="21"/>
        </w:rPr>
        <w:t>；若《基金合同》生效不满</w:t>
      </w:r>
      <w:r w:rsidRPr="00FA0B7E">
        <w:rPr>
          <w:rFonts w:ascii="Times New Roman" w:hAnsi="Times New Roman"/>
          <w:bCs/>
          <w:szCs w:val="21"/>
        </w:rPr>
        <w:t>3</w:t>
      </w:r>
      <w:r w:rsidRPr="00FA0B7E">
        <w:rPr>
          <w:rFonts w:ascii="Times New Roman" w:hAnsi="Times New Roman" w:hint="eastAsia"/>
          <w:bCs/>
          <w:szCs w:val="21"/>
        </w:rPr>
        <w:t>个月可不进行收益分配</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本基金收益分配方式分为两种：现金分红与红利再投资；基金份额持有人可以事先选择将所获分配的现金收益，按照基金合同有关基金份额申购的约定转为基金份额；基金份额持有人事先未做出选择的，基金管理人应当支付现金</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基金收益分配后基金份额净值不能低于面值；即基金收益分配基准日的基金份额净值减去每单位基金份额收益分配金额后不能低于面值</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5</w:t>
      </w:r>
      <w:r w:rsidR="00E026C9">
        <w:rPr>
          <w:rFonts w:ascii="Times New Roman" w:hAnsi="Times New Roman"/>
          <w:bCs/>
          <w:szCs w:val="21"/>
        </w:rPr>
        <w:t>、</w:t>
      </w:r>
      <w:r w:rsidRPr="00FA0B7E">
        <w:rPr>
          <w:rFonts w:ascii="Times New Roman" w:hAnsi="Times New Roman" w:hint="eastAsia"/>
          <w:bCs/>
          <w:szCs w:val="21"/>
        </w:rPr>
        <w:t>法律法规或监管机构另有规定的，从其规定。</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在不违反法律法规的情况下，基金管理人、登记机构可对基金收益分配原则进行调整，不需召开基金份额持有人大会。</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（二）基金收益分配的时间和程序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本基金收益分配方案由基金管理人拟订，并由基金托管人复核，在</w:t>
      </w:r>
      <w:r w:rsidRPr="00FA0B7E">
        <w:rPr>
          <w:rFonts w:ascii="Times New Roman" w:hAnsi="Times New Roman"/>
          <w:bCs/>
          <w:szCs w:val="21"/>
        </w:rPr>
        <w:t>2</w:t>
      </w:r>
      <w:r w:rsidRPr="00FA0B7E">
        <w:rPr>
          <w:rFonts w:ascii="Times New Roman" w:hAnsi="Times New Roman" w:hint="eastAsia"/>
          <w:bCs/>
          <w:szCs w:val="21"/>
        </w:rPr>
        <w:t>日内在指定媒介公告并报中国证监会备案。基金红利发放日距离收益分配基准日（即可供分配利润计算截止日）的时间不得超过</w:t>
      </w:r>
      <w:r w:rsidRPr="00FA0B7E">
        <w:rPr>
          <w:rFonts w:ascii="Times New Roman" w:hAnsi="Times New Roman"/>
          <w:bCs/>
          <w:szCs w:val="21"/>
        </w:rPr>
        <w:t>15</w:t>
      </w:r>
      <w:r w:rsidRPr="00FA0B7E">
        <w:rPr>
          <w:rFonts w:ascii="Times New Roman" w:hAnsi="Times New Roman" w:hint="eastAsia"/>
          <w:bCs/>
          <w:szCs w:val="21"/>
        </w:rPr>
        <w:t>个工作日。基金收益分配方案公告后（依据具体方案的规定），基金管理人就支付的现金红利向基金托管人发送划款指令，基金托管人按照基金管理人的指令及时进行分红资金的划付。</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87107D" w:rsidRPr="00AB1F9E" w:rsidRDefault="00FA0B7E" w:rsidP="00C63991">
      <w:pPr>
        <w:pStyle w:val="a5"/>
        <w:spacing w:after="240"/>
        <w:rPr>
          <w:sz w:val="21"/>
          <w:szCs w:val="21"/>
        </w:rPr>
      </w:pPr>
      <w:bookmarkStart w:id="10" w:name="_Toc457223664"/>
      <w:r w:rsidRPr="00FA0B7E">
        <w:rPr>
          <w:rFonts w:hint="eastAsia"/>
          <w:sz w:val="21"/>
          <w:szCs w:val="21"/>
        </w:rPr>
        <w:t>十、基金信息披露</w:t>
      </w:r>
      <w:bookmarkEnd w:id="10"/>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（一）保密义务</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非因基金管理人和基金托管人的原因导致保密信息被披露、泄露或公开</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基金管理人和基金托管人为遵守和服从法院判决或裁定、仲裁裁决或中国证监会等监管机构的命令、决定所做出的信息披露或公开。</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（二）信息披露的内容</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的信息披露内容主要包括基金招募说明书、《基金合同》、托管协议、基金份额发售公告、《基金合同》生效公告、基金资产净值、基金份额净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（三）基金托管人和基金管理人在信息披露中的职责和信息披露程序</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职责</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对于不需要基金托管人（或基金管理人）复核的信息，基金管理人（或基金托管人）在公告前应告知基金托管人（或基金管理人）。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基金管理人和基金托管人应积极配合、互相监督，保证其履行按照法定方式和限时披露的义务。</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当出现下述情况时，基金管理人和基金托管人可暂停或延迟披露基金相关信息：</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1</w:t>
      </w:r>
      <w:r>
        <w:rPr>
          <w:rFonts w:ascii="Times New Roman" w:hAnsi="Times New Roman"/>
          <w:bCs/>
          <w:szCs w:val="21"/>
        </w:rPr>
        <w:t>）</w:t>
      </w:r>
      <w:r w:rsidR="00FA0B7E" w:rsidRPr="00FA0B7E">
        <w:rPr>
          <w:rFonts w:ascii="Times New Roman" w:hAnsi="Times New Roman" w:hint="eastAsia"/>
          <w:bCs/>
          <w:szCs w:val="21"/>
        </w:rPr>
        <w:t>不可抗力</w:t>
      </w:r>
      <w:r w:rsidR="00E026C9">
        <w:rPr>
          <w:rFonts w:ascii="Times New Roman" w:hAnsi="Times New Roman" w:hint="eastAsia"/>
          <w:bCs/>
          <w:szCs w:val="21"/>
        </w:rPr>
        <w:t>。</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2</w:t>
      </w:r>
      <w:r>
        <w:rPr>
          <w:rFonts w:ascii="Times New Roman" w:hAnsi="Times New Roman"/>
          <w:bCs/>
          <w:szCs w:val="21"/>
        </w:rPr>
        <w:t>）</w:t>
      </w:r>
      <w:r w:rsidR="00FA0B7E" w:rsidRPr="00FA0B7E">
        <w:rPr>
          <w:rFonts w:ascii="Times New Roman" w:hAnsi="Times New Roman" w:hint="eastAsia"/>
          <w:bCs/>
          <w:szCs w:val="21"/>
        </w:rPr>
        <w:t>基金投资所涉及的证券交易市场遇法定节假日或因其他原因暂停营业时</w:t>
      </w:r>
      <w:r w:rsidR="00E026C9">
        <w:rPr>
          <w:rFonts w:ascii="Times New Roman" w:hAnsi="Times New Roman" w:hint="eastAsia"/>
          <w:bCs/>
          <w:szCs w:val="21"/>
        </w:rPr>
        <w:t>。</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3</w:t>
      </w:r>
      <w:r>
        <w:rPr>
          <w:rFonts w:ascii="Times New Roman" w:hAnsi="Times New Roman"/>
          <w:bCs/>
          <w:szCs w:val="21"/>
        </w:rPr>
        <w:t>）</w:t>
      </w:r>
      <w:r w:rsidR="00FA0B7E" w:rsidRPr="00FA0B7E">
        <w:rPr>
          <w:rFonts w:ascii="Times New Roman" w:hAnsi="Times New Roman" w:hint="eastAsia"/>
          <w:bCs/>
          <w:szCs w:val="21"/>
        </w:rPr>
        <w:t>出现基金管理人认为属于会导致基金管理人不能出售或评估基金资产的紧急事故的任何情况</w:t>
      </w:r>
      <w:r w:rsidR="00E026C9">
        <w:rPr>
          <w:rFonts w:ascii="Times New Roman" w:hAnsi="Times New Roman" w:hint="eastAsia"/>
          <w:bCs/>
          <w:szCs w:val="21"/>
        </w:rPr>
        <w:t>。</w:t>
      </w:r>
    </w:p>
    <w:p w:rsidR="00FA0B7E" w:rsidRPr="00FA0B7E" w:rsidRDefault="005A2D97" w:rsidP="00FA0B7E">
      <w:pPr>
        <w:spacing w:line="360" w:lineRule="auto"/>
        <w:ind w:firstLineChars="200" w:firstLine="420"/>
        <w:rPr>
          <w:rFonts w:ascii="Times New Roman" w:hAnsi="Times New Roman"/>
          <w:bCs/>
          <w:szCs w:val="21"/>
        </w:rPr>
      </w:pPr>
      <w:r>
        <w:rPr>
          <w:rFonts w:ascii="Times New Roman" w:hAnsi="Times New Roman"/>
          <w:bCs/>
          <w:szCs w:val="21"/>
        </w:rPr>
        <w:t>（</w:t>
      </w:r>
      <w:r w:rsidR="00FA0B7E" w:rsidRPr="00FA0B7E">
        <w:rPr>
          <w:rFonts w:ascii="Times New Roman" w:hAnsi="Times New Roman"/>
          <w:bCs/>
          <w:szCs w:val="21"/>
        </w:rPr>
        <w:t>4</w:t>
      </w:r>
      <w:r>
        <w:rPr>
          <w:rFonts w:ascii="Times New Roman" w:hAnsi="Times New Roman"/>
          <w:bCs/>
          <w:szCs w:val="21"/>
        </w:rPr>
        <w:t>）</w:t>
      </w:r>
      <w:r w:rsidR="00FA0B7E" w:rsidRPr="00FA0B7E">
        <w:rPr>
          <w:rFonts w:ascii="Times New Roman" w:hAnsi="Times New Roman" w:hint="eastAsia"/>
          <w:bCs/>
          <w:szCs w:val="21"/>
        </w:rPr>
        <w:t>法律法规、《基金合同》或中国证监会规定的其他情况。</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程序按有关规定须经基金托管人复核的信息披露文件，由基金管理人起草、并经基金托管人复核后由基金管理人公告。发生《基金合同》中规定需要披露的事项时，按《基金合同》规定公布。</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信息文本的存放</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予以披露的信息文本，存放在基金管理人</w:t>
      </w:r>
      <w:r w:rsidRPr="00FA0B7E">
        <w:rPr>
          <w:rFonts w:ascii="Times New Roman" w:hAnsi="Times New Roman"/>
          <w:bCs/>
          <w:szCs w:val="21"/>
        </w:rPr>
        <w:t>/</w:t>
      </w:r>
      <w:r w:rsidRPr="00FA0B7E">
        <w:rPr>
          <w:rFonts w:ascii="Times New Roman" w:hAnsi="Times New Roman" w:hint="eastAsia"/>
          <w:bCs/>
          <w:szCs w:val="21"/>
        </w:rPr>
        <w:t>基金托管人处，投资者可以免费查阅。投资者在支付工本费后可在合理时间获得上述文件的复制件或复印件。基金管理人和基金托管人应保证文本的内容与所公告的内容完全一致。</w:t>
      </w:r>
    </w:p>
    <w:p w:rsidR="0087107D" w:rsidRPr="00AB1F9E" w:rsidRDefault="00FA0B7E" w:rsidP="00C63991">
      <w:pPr>
        <w:pStyle w:val="a5"/>
        <w:spacing w:after="240"/>
        <w:rPr>
          <w:sz w:val="21"/>
          <w:szCs w:val="21"/>
        </w:rPr>
      </w:pPr>
      <w:bookmarkStart w:id="11" w:name="_Toc457223665"/>
      <w:r w:rsidRPr="00FA0B7E">
        <w:rPr>
          <w:rFonts w:hint="eastAsia"/>
          <w:sz w:val="21"/>
          <w:szCs w:val="21"/>
        </w:rPr>
        <w:t>十一、基金费用</w:t>
      </w:r>
      <w:bookmarkEnd w:id="11"/>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（一）基金管理费的计提比例和计提方法</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本基金的管理费按前一日基金资产净值的</w:t>
      </w:r>
      <w:r w:rsidRPr="00FA0B7E">
        <w:rPr>
          <w:rFonts w:ascii="Times New Roman" w:hAnsi="Times New Roman"/>
          <w:bCs/>
          <w:szCs w:val="21"/>
        </w:rPr>
        <w:t>0.7%</w:t>
      </w:r>
      <w:r w:rsidRPr="00FA0B7E">
        <w:rPr>
          <w:rFonts w:ascii="Times New Roman" w:hAnsi="Times New Roman" w:hint="eastAsia"/>
          <w:bCs/>
          <w:szCs w:val="21"/>
        </w:rPr>
        <w:t>年费率计提。管理费的计算方法如下：</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H</w:t>
      </w:r>
      <w:r w:rsidRPr="00FA0B7E">
        <w:rPr>
          <w:rFonts w:ascii="Times New Roman" w:hAnsi="Times New Roman" w:hint="eastAsia"/>
          <w:bCs/>
          <w:szCs w:val="21"/>
        </w:rPr>
        <w:t>＝</w:t>
      </w:r>
      <w:r w:rsidRPr="00FA0B7E">
        <w:rPr>
          <w:rFonts w:ascii="Times New Roman" w:hAnsi="Times New Roman"/>
          <w:bCs/>
          <w:szCs w:val="21"/>
        </w:rPr>
        <w:t>E×</w:t>
      </w:r>
      <w:r w:rsidRPr="00FA0B7E">
        <w:rPr>
          <w:rFonts w:ascii="Times New Roman" w:hAnsi="Times New Roman" w:hint="eastAsia"/>
          <w:bCs/>
          <w:szCs w:val="21"/>
        </w:rPr>
        <w:t>年管理费率</w:t>
      </w:r>
      <w:r w:rsidRPr="00FA0B7E">
        <w:rPr>
          <w:rFonts w:ascii="Times New Roman" w:hAnsi="Times New Roman"/>
          <w:bCs/>
          <w:szCs w:val="21"/>
        </w:rPr>
        <w:t>÷</w:t>
      </w:r>
      <w:r w:rsidRPr="00FA0B7E">
        <w:rPr>
          <w:rFonts w:ascii="Times New Roman" w:hAnsi="Times New Roman" w:hint="eastAsia"/>
          <w:bCs/>
          <w:szCs w:val="21"/>
        </w:rPr>
        <w:t>当年天数</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H</w:t>
      </w:r>
      <w:r w:rsidRPr="00FA0B7E">
        <w:rPr>
          <w:rFonts w:ascii="Times New Roman" w:hAnsi="Times New Roman" w:hint="eastAsia"/>
          <w:bCs/>
          <w:szCs w:val="21"/>
        </w:rPr>
        <w:t>为每日应计提的基金管理费</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E</w:t>
      </w:r>
      <w:r w:rsidRPr="00FA0B7E">
        <w:rPr>
          <w:rFonts w:ascii="Times New Roman" w:hAnsi="Times New Roman" w:hint="eastAsia"/>
          <w:bCs/>
          <w:szCs w:val="21"/>
        </w:rPr>
        <w:t>为前一日的基金资产净值</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（二）基金托管费的计提比例和计提方法</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本基金的托管费按前一日基金资产净值的</w:t>
      </w:r>
      <w:r w:rsidRPr="00FA0B7E">
        <w:rPr>
          <w:rFonts w:ascii="Times New Roman" w:hAnsi="Times New Roman"/>
          <w:bCs/>
          <w:szCs w:val="21"/>
        </w:rPr>
        <w:t>0.2%</w:t>
      </w:r>
      <w:r w:rsidRPr="00FA0B7E">
        <w:rPr>
          <w:rFonts w:ascii="Times New Roman" w:hAnsi="Times New Roman" w:hint="eastAsia"/>
          <w:bCs/>
          <w:szCs w:val="21"/>
        </w:rPr>
        <w:t>年费率计提。托管费的计算方法如下：</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H</w:t>
      </w:r>
      <w:r w:rsidRPr="00FA0B7E">
        <w:rPr>
          <w:rFonts w:ascii="Times New Roman" w:hAnsi="Times New Roman" w:hint="eastAsia"/>
          <w:bCs/>
          <w:szCs w:val="21"/>
        </w:rPr>
        <w:t>＝</w:t>
      </w:r>
      <w:r w:rsidRPr="00FA0B7E">
        <w:rPr>
          <w:rFonts w:ascii="Times New Roman" w:hAnsi="Times New Roman"/>
          <w:bCs/>
          <w:szCs w:val="21"/>
        </w:rPr>
        <w:t>E×</w:t>
      </w:r>
      <w:r w:rsidRPr="00FA0B7E">
        <w:rPr>
          <w:rFonts w:ascii="Times New Roman" w:hAnsi="Times New Roman" w:hint="eastAsia"/>
          <w:bCs/>
          <w:szCs w:val="21"/>
        </w:rPr>
        <w:t>年托管费率</w:t>
      </w:r>
      <w:r w:rsidRPr="00FA0B7E">
        <w:rPr>
          <w:rFonts w:ascii="Times New Roman" w:hAnsi="Times New Roman"/>
          <w:bCs/>
          <w:szCs w:val="21"/>
        </w:rPr>
        <w:t>÷</w:t>
      </w:r>
      <w:r w:rsidRPr="00FA0B7E">
        <w:rPr>
          <w:rFonts w:ascii="Times New Roman" w:hAnsi="Times New Roman" w:hint="eastAsia"/>
          <w:bCs/>
          <w:szCs w:val="21"/>
        </w:rPr>
        <w:t>当年天数</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H</w:t>
      </w:r>
      <w:r w:rsidRPr="00FA0B7E">
        <w:rPr>
          <w:rFonts w:ascii="Times New Roman" w:hAnsi="Times New Roman" w:hint="eastAsia"/>
          <w:bCs/>
          <w:szCs w:val="21"/>
        </w:rPr>
        <w:t>为每日应计提的基金托管费</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E</w:t>
      </w:r>
      <w:r w:rsidRPr="00FA0B7E">
        <w:rPr>
          <w:rFonts w:ascii="Times New Roman" w:hAnsi="Times New Roman" w:hint="eastAsia"/>
          <w:bCs/>
          <w:szCs w:val="21"/>
        </w:rPr>
        <w:t>为前一日的基金资产净值</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证券账户开户费用、证券交易费用、基金财产划拨支付的银行费用、银行账户维护费、《基金合同》生效后的信息披露费用、基金份额持有人大会费用、《基金合同》生效后与基金有关的会计师费和律师费等根据有关法律法规、《基金合同》及相应协议的规定，列入当期基金费用。</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（四）不列入基金费用的项目</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（五）基金管理费和基金托管费的调整</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基金管理人和基金托管人可协商酌情降低基金管理费和基金托管费，此项调整不需要基金份额持有人大会决议通过。基金管理人必须最迟于新的费率实施日</w:t>
      </w:r>
      <w:r w:rsidRPr="00FA0B7E">
        <w:rPr>
          <w:rFonts w:ascii="Times New Roman" w:hAnsi="Times New Roman"/>
          <w:bCs/>
          <w:szCs w:val="21"/>
        </w:rPr>
        <w:t>2</w:t>
      </w:r>
      <w:r w:rsidRPr="00FA0B7E">
        <w:rPr>
          <w:rFonts w:ascii="Times New Roman" w:hAnsi="Times New Roman" w:hint="eastAsia"/>
          <w:bCs/>
          <w:szCs w:val="21"/>
        </w:rPr>
        <w:t>日前在指定媒介上刊登公告。</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（六）基金管理费和基金托管费的复核程序、支付方式和时间</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复核程序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基金托管人对基金管理人计提的基金管理费和基金托管费等，根据本托管协议和《基金合同》的有关规定进行复核。</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支付方式和时间</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基金管理费、基金托管费每日计提，按月支付。由托管人根据与管理人核对一致的财务数据，自动在月初</w:t>
      </w:r>
      <w:r w:rsidRPr="00FA0B7E">
        <w:rPr>
          <w:rFonts w:ascii="Times New Roman" w:hAnsi="Times New Roman"/>
          <w:bCs/>
          <w:szCs w:val="21"/>
        </w:rPr>
        <w:t>5</w:t>
      </w:r>
      <w:r w:rsidRPr="00FA0B7E">
        <w:rPr>
          <w:rFonts w:ascii="Times New Roman" w:hAnsi="Times New Roman" w:hint="eastAsia"/>
          <w:bCs/>
          <w:szCs w:val="21"/>
        </w:rPr>
        <w:t>个工作日内、按照指定的账户路径进行资金支付，管理人无需再出具资金划拨指令。若遇法定节假日、休息日等，支付日期顺延。</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在首期支付基金管理费前，基金管理人应向托管人出具正式函件指定基金管理费的收款账户。基金管理人如需要变更此账户，应提前</w:t>
      </w:r>
      <w:r w:rsidRPr="00FA0B7E">
        <w:rPr>
          <w:rFonts w:ascii="Times New Roman" w:hAnsi="Times New Roman"/>
          <w:bCs/>
          <w:szCs w:val="21"/>
        </w:rPr>
        <w:t>5</w:t>
      </w:r>
      <w:r w:rsidRPr="00FA0B7E">
        <w:rPr>
          <w:rFonts w:ascii="Times New Roman" w:hAnsi="Times New Roman" w:hint="eastAsia"/>
          <w:bCs/>
          <w:szCs w:val="21"/>
        </w:rPr>
        <w:t>个工作日向托管人出具书面的收款账户变更通知。</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（七）违规处理方式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87107D" w:rsidRPr="00AB1F9E" w:rsidRDefault="00FA0B7E" w:rsidP="00C63991">
      <w:pPr>
        <w:pStyle w:val="a5"/>
        <w:spacing w:after="240"/>
        <w:rPr>
          <w:sz w:val="21"/>
          <w:szCs w:val="21"/>
        </w:rPr>
      </w:pPr>
      <w:bookmarkStart w:id="12" w:name="_Toc457223666"/>
      <w:r w:rsidRPr="00FA0B7E">
        <w:rPr>
          <w:rFonts w:hint="eastAsia"/>
          <w:sz w:val="21"/>
          <w:szCs w:val="21"/>
        </w:rPr>
        <w:t>十二、基金份额持有人名册的保管</w:t>
      </w:r>
      <w:bookmarkEnd w:id="12"/>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FA0B7E">
        <w:rPr>
          <w:rFonts w:ascii="Times New Roman" w:hAnsi="Times New Roman"/>
          <w:bCs/>
          <w:szCs w:val="21"/>
        </w:rPr>
        <w:t>15</w:t>
      </w:r>
      <w:r w:rsidRPr="00FA0B7E">
        <w:rPr>
          <w:rFonts w:ascii="Times New Roman" w:hAnsi="Times New Roman" w:hint="eastAsia"/>
          <w:bCs/>
          <w:szCs w:val="21"/>
        </w:rPr>
        <w:t>年。如不能妥善保管，则按相关法规承担责任。</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基金托管人不得将所保管的基金份额持有人名册用于基金托管业务以外的其他用途，并应遵守保密义务。</w:t>
      </w:r>
    </w:p>
    <w:p w:rsidR="0087107D" w:rsidRPr="00AB1F9E" w:rsidRDefault="00FA0B7E" w:rsidP="00C63991">
      <w:pPr>
        <w:pStyle w:val="a5"/>
        <w:spacing w:after="240"/>
        <w:rPr>
          <w:sz w:val="21"/>
          <w:szCs w:val="21"/>
        </w:rPr>
      </w:pPr>
      <w:bookmarkStart w:id="13" w:name="_Toc457223667"/>
      <w:r w:rsidRPr="00FA0B7E">
        <w:rPr>
          <w:rFonts w:hint="eastAsia"/>
          <w:sz w:val="21"/>
          <w:szCs w:val="21"/>
        </w:rPr>
        <w:t>十三、基金有关文件档案的保存</w:t>
      </w:r>
      <w:bookmarkEnd w:id="13"/>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（一）档案保存</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FA0B7E">
        <w:rPr>
          <w:rFonts w:ascii="Times New Roman" w:hAnsi="Times New Roman"/>
          <w:bCs/>
          <w:szCs w:val="21"/>
        </w:rPr>
        <w:t>15</w:t>
      </w:r>
      <w:r w:rsidRPr="00FA0B7E">
        <w:rPr>
          <w:rFonts w:ascii="Times New Roman" w:hAnsi="Times New Roman" w:hint="eastAsia"/>
          <w:bCs/>
          <w:szCs w:val="21"/>
        </w:rPr>
        <w:t>年。</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（二）合同档案的建立</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基金管理人签署重大合同文本后，应及时将合同文本正本送达基金托管人处。</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基金管理人应及时将与本基金账务处理、资金划拨等有关的合同、协议传真基金托管人。</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（三）变更与协助</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若基金管理人</w:t>
      </w:r>
      <w:r w:rsidRPr="00FA0B7E">
        <w:rPr>
          <w:rFonts w:ascii="Times New Roman" w:hAnsi="Times New Roman"/>
          <w:bCs/>
          <w:szCs w:val="21"/>
        </w:rPr>
        <w:t>/</w:t>
      </w:r>
      <w:r w:rsidRPr="00FA0B7E">
        <w:rPr>
          <w:rFonts w:ascii="Times New Roman" w:hAnsi="Times New Roman" w:hint="eastAsia"/>
          <w:bCs/>
          <w:szCs w:val="21"/>
        </w:rPr>
        <w:t>基金托管人发生变更，未变更的一方有义务协助变更后的接任人接收相应文件。</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（四）基金管理人和基金托管人应按各自职责完整保存原始凭证、记账凭证、基金账册、交易记录和重要合同等，承担保密义务并保存至少十五年以上。</w:t>
      </w:r>
    </w:p>
    <w:p w:rsidR="0087107D" w:rsidRPr="00AB1F9E" w:rsidRDefault="00FA0B7E" w:rsidP="00C63991">
      <w:pPr>
        <w:pStyle w:val="a5"/>
        <w:spacing w:after="240"/>
        <w:rPr>
          <w:sz w:val="21"/>
          <w:szCs w:val="21"/>
        </w:rPr>
      </w:pPr>
      <w:bookmarkStart w:id="14" w:name="_Toc457223668"/>
      <w:r w:rsidRPr="00FA0B7E">
        <w:rPr>
          <w:rFonts w:hint="eastAsia"/>
          <w:sz w:val="21"/>
          <w:szCs w:val="21"/>
        </w:rPr>
        <w:t>十四、基金管理人和基金托管人的更换</w:t>
      </w:r>
      <w:bookmarkEnd w:id="14"/>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（一）基金管理人职责终止的情形</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基金管理人职责终止的情形有下列情形之一的，基金管理人职责终止：</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1</w:t>
      </w:r>
      <w:r w:rsidRPr="00FA0B7E">
        <w:rPr>
          <w:rFonts w:ascii="Times New Roman" w:hAnsi="Times New Roman" w:hint="eastAsia"/>
          <w:bCs/>
          <w:szCs w:val="21"/>
        </w:rPr>
        <w:t>）被依法取消基金管理资格</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2</w:t>
      </w:r>
      <w:r w:rsidRPr="00FA0B7E">
        <w:rPr>
          <w:rFonts w:ascii="Times New Roman" w:hAnsi="Times New Roman" w:hint="eastAsia"/>
          <w:bCs/>
          <w:szCs w:val="21"/>
        </w:rPr>
        <w:t>）依法解散、被依法撤销或被依法宣告破产</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3</w:t>
      </w:r>
      <w:r w:rsidRPr="00FA0B7E">
        <w:rPr>
          <w:rFonts w:ascii="Times New Roman" w:hAnsi="Times New Roman" w:hint="eastAsia"/>
          <w:bCs/>
          <w:szCs w:val="21"/>
        </w:rPr>
        <w:t>）被基金份额持有人大会解任</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4</w:t>
      </w:r>
      <w:r w:rsidRPr="00FA0B7E">
        <w:rPr>
          <w:rFonts w:ascii="Times New Roman" w:hAnsi="Times New Roman" w:hint="eastAsia"/>
          <w:bCs/>
          <w:szCs w:val="21"/>
        </w:rPr>
        <w:t>）法律法规及中国证监会规定的和《基金合同》约定的其他情形。</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基金管理人的更换程序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更换基金管理人必须依照如下程序进行：</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1</w:t>
      </w:r>
      <w:r w:rsidRPr="00FA0B7E">
        <w:rPr>
          <w:rFonts w:ascii="Times New Roman" w:hAnsi="Times New Roman" w:hint="eastAsia"/>
          <w:bCs/>
          <w:szCs w:val="21"/>
        </w:rPr>
        <w:t>）提名：新任基金管理人由基金托管人或由单独或合计持有</w:t>
      </w:r>
      <w:r w:rsidRPr="00FA0B7E">
        <w:rPr>
          <w:rFonts w:ascii="Times New Roman" w:hAnsi="Times New Roman"/>
          <w:bCs/>
          <w:szCs w:val="21"/>
        </w:rPr>
        <w:t>10%</w:t>
      </w:r>
      <w:r w:rsidRPr="00FA0B7E">
        <w:rPr>
          <w:rFonts w:ascii="Times New Roman" w:hAnsi="Times New Roman" w:hint="eastAsia"/>
          <w:bCs/>
          <w:szCs w:val="21"/>
        </w:rPr>
        <w:t>以上（含</w:t>
      </w:r>
      <w:r w:rsidRPr="00FA0B7E">
        <w:rPr>
          <w:rFonts w:ascii="Times New Roman" w:hAnsi="Times New Roman"/>
          <w:bCs/>
          <w:szCs w:val="21"/>
        </w:rPr>
        <w:t>10%</w:t>
      </w:r>
      <w:r w:rsidRPr="00FA0B7E">
        <w:rPr>
          <w:rFonts w:ascii="Times New Roman" w:hAnsi="Times New Roman" w:hint="eastAsia"/>
          <w:bCs/>
          <w:szCs w:val="21"/>
        </w:rPr>
        <w:t>）基金份额的基金份额持有人提名</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2</w:t>
      </w:r>
      <w:r w:rsidRPr="00FA0B7E">
        <w:rPr>
          <w:rFonts w:ascii="Times New Roman" w:hAnsi="Times New Roman" w:hint="eastAsia"/>
          <w:bCs/>
          <w:szCs w:val="21"/>
        </w:rPr>
        <w:t>）决议：基金份额持有人大会在基金管理人职责终止后</w:t>
      </w:r>
      <w:r w:rsidRPr="00FA0B7E">
        <w:rPr>
          <w:rFonts w:ascii="Times New Roman" w:hAnsi="Times New Roman"/>
          <w:bCs/>
          <w:szCs w:val="21"/>
        </w:rPr>
        <w:t>6</w:t>
      </w:r>
      <w:r w:rsidRPr="00FA0B7E">
        <w:rPr>
          <w:rFonts w:ascii="Times New Roman" w:hAnsi="Times New Roman" w:hint="eastAsia"/>
          <w:bCs/>
          <w:szCs w:val="21"/>
        </w:rPr>
        <w:t>个月内对被提名的基金管理人形成决议，该决议需经参加大会的基金份额持有人所持表决权的三分之二以上（含三分之二）表决通过</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3</w:t>
      </w:r>
      <w:r w:rsidRPr="00FA0B7E">
        <w:rPr>
          <w:rFonts w:ascii="Times New Roman" w:hAnsi="Times New Roman" w:hint="eastAsia"/>
          <w:bCs/>
          <w:szCs w:val="21"/>
        </w:rPr>
        <w:t>）临时基金管理人：新任基金管理人产生之前，由中国证监会指定临时基金管理人</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4</w:t>
      </w:r>
      <w:r w:rsidRPr="00FA0B7E">
        <w:rPr>
          <w:rFonts w:ascii="Times New Roman" w:hAnsi="Times New Roman" w:hint="eastAsia"/>
          <w:bCs/>
          <w:szCs w:val="21"/>
        </w:rPr>
        <w:t>）备案：基金份额持有人大会选任基金管理人的决议须报中国证监会备案</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5</w:t>
      </w:r>
      <w:r w:rsidRPr="00FA0B7E">
        <w:rPr>
          <w:rFonts w:ascii="Times New Roman" w:hAnsi="Times New Roman" w:hint="eastAsia"/>
          <w:bCs/>
          <w:szCs w:val="21"/>
        </w:rPr>
        <w:t>）公告：基金管理人更换后，由基金托管人在更换基金管理人的基金份额持有人大会决议生效后</w:t>
      </w:r>
      <w:r w:rsidRPr="00FA0B7E">
        <w:rPr>
          <w:rFonts w:ascii="Times New Roman" w:hAnsi="Times New Roman"/>
          <w:bCs/>
          <w:szCs w:val="21"/>
        </w:rPr>
        <w:t>2</w:t>
      </w:r>
      <w:r w:rsidRPr="00FA0B7E">
        <w:rPr>
          <w:rFonts w:ascii="Times New Roman" w:hAnsi="Times New Roman" w:hint="eastAsia"/>
          <w:bCs/>
          <w:szCs w:val="21"/>
        </w:rPr>
        <w:t>日内在指定媒介公告</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6</w:t>
      </w:r>
      <w:r w:rsidRPr="00FA0B7E">
        <w:rPr>
          <w:rFonts w:ascii="Times New Roman" w:hAnsi="Times New Roman" w:hint="eastAsia"/>
          <w:bCs/>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7</w:t>
      </w:r>
      <w:r w:rsidRPr="00FA0B7E">
        <w:rPr>
          <w:rFonts w:ascii="Times New Roman" w:hAnsi="Times New Roman" w:hint="eastAsia"/>
          <w:bCs/>
          <w:szCs w:val="21"/>
        </w:rPr>
        <w:t>）审计：基金管理人职责终止的，应当按照法律法规规定聘请会计师事务所对基金财产进行审计，并将审计结果予以公告，同时报中国证监会备案</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8</w:t>
      </w:r>
      <w:r w:rsidRPr="00FA0B7E">
        <w:rPr>
          <w:rFonts w:ascii="Times New Roman" w:hAnsi="Times New Roman" w:hint="eastAsia"/>
          <w:bCs/>
          <w:szCs w:val="21"/>
        </w:rPr>
        <w:t>）基金名称变更：基金管理人更换后，如果原任或新任基金管理人要求，应按其要求替换或删除基金名称中与原基金管理人有关的名称字样。</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（二）基金托管人职责终止的情形</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基金托管人职责终止的情形有下列情形之一的，基金托管人职责终止：</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1</w:t>
      </w:r>
      <w:r w:rsidRPr="00FA0B7E">
        <w:rPr>
          <w:rFonts w:ascii="Times New Roman" w:hAnsi="Times New Roman" w:hint="eastAsia"/>
          <w:bCs/>
          <w:szCs w:val="21"/>
        </w:rPr>
        <w:t>）被依法取消基金托管资格</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2</w:t>
      </w:r>
      <w:r w:rsidRPr="00FA0B7E">
        <w:rPr>
          <w:rFonts w:ascii="Times New Roman" w:hAnsi="Times New Roman" w:hint="eastAsia"/>
          <w:bCs/>
          <w:szCs w:val="21"/>
        </w:rPr>
        <w:t>）依法解散、被依法撤销或被依法宣告破产</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3</w:t>
      </w:r>
      <w:r w:rsidRPr="00FA0B7E">
        <w:rPr>
          <w:rFonts w:ascii="Times New Roman" w:hAnsi="Times New Roman" w:hint="eastAsia"/>
          <w:bCs/>
          <w:szCs w:val="21"/>
        </w:rPr>
        <w:t>）被基金份额持有人大会解任</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4</w:t>
      </w:r>
      <w:r w:rsidRPr="00FA0B7E">
        <w:rPr>
          <w:rFonts w:ascii="Times New Roman" w:hAnsi="Times New Roman" w:hint="eastAsia"/>
          <w:bCs/>
          <w:szCs w:val="21"/>
        </w:rPr>
        <w:t>）法律法规及中国证监会规定的和《基金合同》约定的其他情形。</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基金托管人的更换程序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1</w:t>
      </w:r>
      <w:r w:rsidRPr="00FA0B7E">
        <w:rPr>
          <w:rFonts w:ascii="Times New Roman" w:hAnsi="Times New Roman" w:hint="eastAsia"/>
          <w:bCs/>
          <w:szCs w:val="21"/>
        </w:rPr>
        <w:t>）提名：新任基金托管人由基金管理人或由单独或合计持有</w:t>
      </w:r>
      <w:r w:rsidRPr="00FA0B7E">
        <w:rPr>
          <w:rFonts w:ascii="Times New Roman" w:hAnsi="Times New Roman"/>
          <w:bCs/>
          <w:szCs w:val="21"/>
        </w:rPr>
        <w:t>10%</w:t>
      </w:r>
      <w:r w:rsidRPr="00FA0B7E">
        <w:rPr>
          <w:rFonts w:ascii="Times New Roman" w:hAnsi="Times New Roman" w:hint="eastAsia"/>
          <w:bCs/>
          <w:szCs w:val="21"/>
        </w:rPr>
        <w:t>以上（含</w:t>
      </w:r>
      <w:r w:rsidRPr="00FA0B7E">
        <w:rPr>
          <w:rFonts w:ascii="Times New Roman" w:hAnsi="Times New Roman"/>
          <w:bCs/>
          <w:szCs w:val="21"/>
        </w:rPr>
        <w:t>10%</w:t>
      </w:r>
      <w:r w:rsidRPr="00FA0B7E">
        <w:rPr>
          <w:rFonts w:ascii="Times New Roman" w:hAnsi="Times New Roman" w:hint="eastAsia"/>
          <w:bCs/>
          <w:szCs w:val="21"/>
        </w:rPr>
        <w:t>）基金份额的基金份额持有人提名</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2</w:t>
      </w:r>
      <w:r w:rsidRPr="00FA0B7E">
        <w:rPr>
          <w:rFonts w:ascii="Times New Roman" w:hAnsi="Times New Roman" w:hint="eastAsia"/>
          <w:bCs/>
          <w:szCs w:val="21"/>
        </w:rPr>
        <w:t>）决议：基金份额持有人大会在基金托管人职责终止后</w:t>
      </w:r>
      <w:r w:rsidRPr="00FA0B7E">
        <w:rPr>
          <w:rFonts w:ascii="Times New Roman" w:hAnsi="Times New Roman"/>
          <w:bCs/>
          <w:szCs w:val="21"/>
        </w:rPr>
        <w:t>6</w:t>
      </w:r>
      <w:r w:rsidRPr="00FA0B7E">
        <w:rPr>
          <w:rFonts w:ascii="Times New Roman" w:hAnsi="Times New Roman" w:hint="eastAsia"/>
          <w:bCs/>
          <w:szCs w:val="21"/>
        </w:rPr>
        <w:t>个月内对被提名的基金托管人形成决议，该决议需经参加大会的基金份额持有人所持表决权的三分之二以上（含三分之二）表决通过</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3</w:t>
      </w:r>
      <w:r w:rsidRPr="00FA0B7E">
        <w:rPr>
          <w:rFonts w:ascii="Times New Roman" w:hAnsi="Times New Roman" w:hint="eastAsia"/>
          <w:bCs/>
          <w:szCs w:val="21"/>
        </w:rPr>
        <w:t>）临时基金托管人：新任基金托管人产生之前，由中国证监会指定临时基金托管人</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4</w:t>
      </w:r>
      <w:r w:rsidRPr="00FA0B7E">
        <w:rPr>
          <w:rFonts w:ascii="Times New Roman" w:hAnsi="Times New Roman" w:hint="eastAsia"/>
          <w:bCs/>
          <w:szCs w:val="21"/>
        </w:rPr>
        <w:t>）备案：基金份额持有人大会更换基金托管人的决议须报中国证监会备案</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5</w:t>
      </w:r>
      <w:r w:rsidRPr="00FA0B7E">
        <w:rPr>
          <w:rFonts w:ascii="Times New Roman" w:hAnsi="Times New Roman" w:hint="eastAsia"/>
          <w:bCs/>
          <w:szCs w:val="21"/>
        </w:rPr>
        <w:t>）公告：基金托管人更换后，由基金管理人在更换基金托管人的基金份额持有人大会决议生效后</w:t>
      </w:r>
      <w:r w:rsidRPr="00FA0B7E">
        <w:rPr>
          <w:rFonts w:ascii="Times New Roman" w:hAnsi="Times New Roman"/>
          <w:bCs/>
          <w:szCs w:val="21"/>
        </w:rPr>
        <w:t xml:space="preserve"> 2</w:t>
      </w:r>
      <w:r w:rsidRPr="00FA0B7E">
        <w:rPr>
          <w:rFonts w:ascii="Times New Roman" w:hAnsi="Times New Roman" w:hint="eastAsia"/>
          <w:bCs/>
          <w:szCs w:val="21"/>
        </w:rPr>
        <w:t>日内在指定媒介公告</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6</w:t>
      </w:r>
      <w:r w:rsidRPr="00FA0B7E">
        <w:rPr>
          <w:rFonts w:ascii="Times New Roman" w:hAnsi="Times New Roman" w:hint="eastAsia"/>
          <w:bCs/>
          <w:szCs w:val="21"/>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7</w:t>
      </w:r>
      <w:r w:rsidRPr="00FA0B7E">
        <w:rPr>
          <w:rFonts w:ascii="Times New Roman" w:hAnsi="Times New Roman" w:hint="eastAsia"/>
          <w:bCs/>
          <w:szCs w:val="21"/>
        </w:rPr>
        <w:t>）审计：基金托管人职责终止的，应当按照法律法规规定聘请会计师事务所对基金财产进行审计，并将审计结果予以公告，同时报中国证监会备案。</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（三）基金管理人与基金托管人同时更换的条件和程序</w:t>
      </w:r>
      <w:r w:rsidRPr="00FA0B7E">
        <w:rPr>
          <w:rFonts w:ascii="Times New Roman" w:hAnsi="Times New Roman"/>
          <w:bCs/>
          <w:szCs w:val="21"/>
        </w:rPr>
        <w:t xml:space="preserve"> </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提名：如果基金管理人和基金托管人同时更换，由单独或合计持有基金总份额</w:t>
      </w:r>
      <w:r w:rsidRPr="00FA0B7E">
        <w:rPr>
          <w:rFonts w:ascii="Times New Roman" w:hAnsi="Times New Roman"/>
          <w:bCs/>
          <w:szCs w:val="21"/>
        </w:rPr>
        <w:t>10%</w:t>
      </w:r>
      <w:r w:rsidRPr="00FA0B7E">
        <w:rPr>
          <w:rFonts w:ascii="Times New Roman" w:hAnsi="Times New Roman" w:hint="eastAsia"/>
          <w:bCs/>
          <w:szCs w:val="21"/>
        </w:rPr>
        <w:t>以上</w:t>
      </w:r>
      <w:r w:rsidR="005A2D97">
        <w:rPr>
          <w:rFonts w:ascii="Times New Roman" w:hAnsi="Times New Roman"/>
          <w:bCs/>
          <w:szCs w:val="21"/>
        </w:rPr>
        <w:t>（</w:t>
      </w:r>
      <w:r w:rsidRPr="00FA0B7E">
        <w:rPr>
          <w:rFonts w:ascii="Times New Roman" w:hAnsi="Times New Roman" w:hint="eastAsia"/>
          <w:bCs/>
          <w:szCs w:val="21"/>
        </w:rPr>
        <w:t>含</w:t>
      </w:r>
      <w:r w:rsidRPr="00FA0B7E">
        <w:rPr>
          <w:rFonts w:ascii="Times New Roman" w:hAnsi="Times New Roman"/>
          <w:bCs/>
          <w:szCs w:val="21"/>
        </w:rPr>
        <w:t>10%</w:t>
      </w:r>
      <w:r w:rsidR="005A2D97">
        <w:rPr>
          <w:rFonts w:ascii="Times New Roman" w:hAnsi="Times New Roman"/>
          <w:bCs/>
          <w:szCs w:val="21"/>
        </w:rPr>
        <w:t>）</w:t>
      </w:r>
      <w:r w:rsidRPr="00FA0B7E">
        <w:rPr>
          <w:rFonts w:ascii="Times New Roman" w:hAnsi="Times New Roman" w:hint="eastAsia"/>
          <w:bCs/>
          <w:szCs w:val="21"/>
        </w:rPr>
        <w:t>的基金份额持有人提名新的基金管理人和基金托管人</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基金管理人和基金托管人的更换分别按上述程序进行</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公告：新任基金管理人和新任基金托管人应在更换基金管理人和基金托管人的基金份额持有人大会决议生效后</w:t>
      </w:r>
      <w:r w:rsidRPr="00FA0B7E">
        <w:rPr>
          <w:rFonts w:ascii="Times New Roman" w:hAnsi="Times New Roman"/>
          <w:bCs/>
          <w:szCs w:val="21"/>
        </w:rPr>
        <w:t>2</w:t>
      </w:r>
      <w:r w:rsidRPr="00FA0B7E">
        <w:rPr>
          <w:rFonts w:ascii="Times New Roman" w:hAnsi="Times New Roman" w:hint="eastAsia"/>
          <w:bCs/>
          <w:szCs w:val="21"/>
        </w:rPr>
        <w:t>日内在指定媒介上联合公告。</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（四）新</w:t>
      </w:r>
      <w:r w:rsidR="00C04A0A">
        <w:rPr>
          <w:rFonts w:ascii="Times New Roman" w:hAnsi="Times New Roman" w:hint="eastAsia"/>
          <w:bCs/>
          <w:szCs w:val="21"/>
        </w:rPr>
        <w:t>任</w:t>
      </w:r>
      <w:r w:rsidRPr="00FA0B7E">
        <w:rPr>
          <w:rFonts w:ascii="Times New Roman" w:hAnsi="Times New Roman" w:hint="eastAsia"/>
          <w:bCs/>
          <w:szCs w:val="21"/>
        </w:rPr>
        <w:t>基金管理人接收基金管理业务或新</w:t>
      </w:r>
      <w:r w:rsidR="00C04A0A">
        <w:rPr>
          <w:rFonts w:ascii="Times New Roman" w:hAnsi="Times New Roman" w:hint="eastAsia"/>
          <w:bCs/>
          <w:szCs w:val="21"/>
        </w:rPr>
        <w:t>任</w:t>
      </w:r>
      <w:r w:rsidRPr="00FA0B7E">
        <w:rPr>
          <w:rFonts w:ascii="Times New Roman" w:hAnsi="Times New Roman" w:hint="eastAsia"/>
          <w:bCs/>
          <w:szCs w:val="21"/>
        </w:rPr>
        <w:t>基金托管人接收基金财产和基金托管业务前，原基金管理人或原基金托管人应继续履行相关职责，并保证不做出对基金份额持有人的利益造成损害的行为。</w:t>
      </w:r>
    </w:p>
    <w:p w:rsidR="0087107D" w:rsidRPr="00AB1F9E" w:rsidRDefault="00FA0B7E" w:rsidP="007676B6">
      <w:pPr>
        <w:pStyle w:val="a5"/>
        <w:spacing w:after="240"/>
        <w:rPr>
          <w:sz w:val="21"/>
          <w:szCs w:val="21"/>
        </w:rPr>
      </w:pPr>
      <w:bookmarkStart w:id="15" w:name="_Toc457223669"/>
      <w:r w:rsidRPr="00FA0B7E">
        <w:rPr>
          <w:rFonts w:hint="eastAsia"/>
          <w:sz w:val="21"/>
          <w:szCs w:val="21"/>
        </w:rPr>
        <w:t>十五、禁止行为</w:t>
      </w:r>
      <w:bookmarkEnd w:id="15"/>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本协议当事人禁止从事的行为，包括但不限于：</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（一）基金管理人、基金托管人将其固有财产或者他人财产混同于基金财产从事证券投资。</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（二）基金管理人不公平地对待其管理的不同基金财产，基金托管人不公平地对待其托管的不同基金财产。</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（三）基金管理人、基金托管人利用基金财产为基金份额持有人以外的第三人牟取利益。</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（四）基金管理人、基金托管人向基金份额持有人违规承诺收益或者承担损失。</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（五）基金管理人、基金托管人对他人泄漏基金运作和管理过程中任何尚未按法律法规规定的方式公开披露的信息。</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（六）基金管理人在没有充足资金的情况下向基金托管人发出投资指令和赎回、分红资金的划拨指令，或违规向基金托管人发出指令。</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（七）基金管理人、基金托管人在行政上、财务上不独立，其高级管理人员和其他从业人员相互兼职。</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（八）基金托管人私自动用或处分基金财产，根据基金管理人的合法指令、《基金合同》或托管协议的规定进行处分的除外。</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（九）基金财产用于下列投资或者活动：</w:t>
      </w: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承销证券；</w:t>
      </w: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违反规定向他人贷款或者提供担保；</w:t>
      </w: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从事承担无限责任的投资；</w:t>
      </w: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向其基金管理人、基金托管人出资；</w:t>
      </w:r>
      <w:r w:rsidRPr="00FA0B7E">
        <w:rPr>
          <w:rFonts w:ascii="Times New Roman" w:hAnsi="Times New Roman"/>
          <w:bCs/>
          <w:szCs w:val="21"/>
        </w:rPr>
        <w:t>5</w:t>
      </w:r>
      <w:r w:rsidR="00E026C9">
        <w:rPr>
          <w:rFonts w:ascii="Times New Roman" w:hAnsi="Times New Roman"/>
          <w:bCs/>
          <w:szCs w:val="21"/>
        </w:rPr>
        <w:t>、</w:t>
      </w:r>
      <w:r w:rsidRPr="00FA0B7E">
        <w:rPr>
          <w:rFonts w:ascii="Times New Roman" w:hAnsi="Times New Roman" w:hint="eastAsia"/>
          <w:bCs/>
          <w:szCs w:val="21"/>
        </w:rPr>
        <w:t>从事内幕交易、操纵证券交易价格及其他不正当的证券交易活动；</w:t>
      </w:r>
      <w:r w:rsidRPr="00FA0B7E">
        <w:rPr>
          <w:rFonts w:ascii="Times New Roman" w:hAnsi="Times New Roman"/>
          <w:bCs/>
          <w:szCs w:val="21"/>
        </w:rPr>
        <w:t>6</w:t>
      </w:r>
      <w:r w:rsidR="00E026C9">
        <w:rPr>
          <w:rFonts w:ascii="Times New Roman" w:hAnsi="Times New Roman"/>
          <w:bCs/>
          <w:szCs w:val="21"/>
        </w:rPr>
        <w:t>、</w:t>
      </w:r>
      <w:r w:rsidRPr="00FA0B7E">
        <w:rPr>
          <w:rFonts w:ascii="Times New Roman" w:hAnsi="Times New Roman" w:hint="eastAsia"/>
          <w:bCs/>
          <w:szCs w:val="21"/>
        </w:rPr>
        <w:t>依照法律、行政法规有关规定，由国务院证券监督管理机构规定禁止的其他活动。法律法规或监管部门取消上述限制，如适用于本基金，则本基金投资不再受相关限制。</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（十）法律法规和《基金合同》禁止的其他行为，以及依照法律、行政法规有关规定，由国务院证券监督管理机构规定禁止基金管理人、基金托管人从事的其他行为。</w:t>
      </w:r>
    </w:p>
    <w:p w:rsidR="0087107D" w:rsidRPr="00AB1F9E" w:rsidRDefault="00FA0B7E" w:rsidP="00A27EF8">
      <w:pPr>
        <w:pStyle w:val="a5"/>
        <w:spacing w:after="240"/>
        <w:rPr>
          <w:sz w:val="21"/>
          <w:szCs w:val="21"/>
        </w:rPr>
      </w:pPr>
      <w:bookmarkStart w:id="16" w:name="_Toc457223670"/>
      <w:r w:rsidRPr="00FA0B7E">
        <w:rPr>
          <w:rFonts w:hint="eastAsia"/>
          <w:sz w:val="21"/>
          <w:szCs w:val="21"/>
        </w:rPr>
        <w:t>十六、托管协议的变更、终止与基金财产的清算</w:t>
      </w:r>
      <w:bookmarkEnd w:id="16"/>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（一）托管协议的变更程序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本协议双方当事人经协商一致，可以对协议进行修改。修改后的新协议，其内容不得与《基金合同》的规定有任何冲突。基金托管协议的变更报中国证监会备案后生效。</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（二）基金托管协议终止的情形</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《基金合同》终止</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基金托管人解散、依法被撤销、破产或由其他基金托管人接管基金资产</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基金管理人解散、依法被撤销、破产或由其他基金管理人接管基金管理权</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发生法律法规或《基金合同》规定的终止事项。</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（三）基金财产的清算</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基金财产清算小组：自出现《基金合同》终止事由之日起</w:t>
      </w:r>
      <w:r w:rsidRPr="00FA0B7E">
        <w:rPr>
          <w:rFonts w:ascii="Times New Roman" w:hAnsi="Times New Roman"/>
          <w:bCs/>
          <w:szCs w:val="21"/>
        </w:rPr>
        <w:t>30</w:t>
      </w:r>
      <w:r w:rsidRPr="00FA0B7E">
        <w:rPr>
          <w:rFonts w:ascii="Times New Roman" w:hAnsi="Times New Roman" w:hint="eastAsia"/>
          <w:bCs/>
          <w:szCs w:val="21"/>
        </w:rPr>
        <w:t>个工作日内成立清算小组，基金管理人组织基金财产清算小组并在中国证监会的监督下进行基金清算。</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基金财产清算小组职责：基金财产清算小组负责基金财产的保管、清理、估价、变现和分配。基金财产清算小组可以依法进行必要的民事活动。</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4</w:t>
      </w:r>
      <w:r w:rsidR="00E026C9">
        <w:rPr>
          <w:rFonts w:ascii="Times New Roman" w:hAnsi="Times New Roman"/>
          <w:bCs/>
          <w:szCs w:val="21"/>
        </w:rPr>
        <w:t>、</w:t>
      </w:r>
      <w:r w:rsidRPr="00FA0B7E">
        <w:rPr>
          <w:rFonts w:ascii="Times New Roman" w:hAnsi="Times New Roman" w:hint="eastAsia"/>
          <w:bCs/>
          <w:szCs w:val="21"/>
        </w:rPr>
        <w:t>基金财产清算程序</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1</w:t>
      </w:r>
      <w:r w:rsidRPr="00FA0B7E">
        <w:rPr>
          <w:rFonts w:ascii="Times New Roman" w:hAnsi="Times New Roman" w:hint="eastAsia"/>
          <w:bCs/>
          <w:szCs w:val="21"/>
        </w:rPr>
        <w:t>）《基金合同》终止情形出现时，由基金财产清算小组统一接管基金</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2</w:t>
      </w:r>
      <w:r w:rsidRPr="00FA0B7E">
        <w:rPr>
          <w:rFonts w:ascii="Times New Roman" w:hAnsi="Times New Roman" w:hint="eastAsia"/>
          <w:bCs/>
          <w:szCs w:val="21"/>
        </w:rPr>
        <w:t>）对基金财产和债权债务进行清理和确认</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3</w:t>
      </w:r>
      <w:r w:rsidRPr="00FA0B7E">
        <w:rPr>
          <w:rFonts w:ascii="Times New Roman" w:hAnsi="Times New Roman" w:hint="eastAsia"/>
          <w:bCs/>
          <w:szCs w:val="21"/>
        </w:rPr>
        <w:t>）对基金财产进行估值和变现</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4</w:t>
      </w:r>
      <w:r w:rsidRPr="00FA0B7E">
        <w:rPr>
          <w:rFonts w:ascii="Times New Roman" w:hAnsi="Times New Roman" w:hint="eastAsia"/>
          <w:bCs/>
          <w:szCs w:val="21"/>
        </w:rPr>
        <w:t>）制作清算报告</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5</w:t>
      </w:r>
      <w:r w:rsidRPr="00FA0B7E">
        <w:rPr>
          <w:rFonts w:ascii="Times New Roman" w:hAnsi="Times New Roman" w:hint="eastAsia"/>
          <w:bCs/>
          <w:szCs w:val="21"/>
        </w:rPr>
        <w:t>）聘请会计师事务所对清算报告进行外部审计，聘请律师事务所对清算报告出具法律意见书</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6</w:t>
      </w:r>
      <w:r w:rsidRPr="00FA0B7E">
        <w:rPr>
          <w:rFonts w:ascii="Times New Roman" w:hAnsi="Times New Roman" w:hint="eastAsia"/>
          <w:bCs/>
          <w:szCs w:val="21"/>
        </w:rPr>
        <w:t>）将清算结果报中国证监会备案并公告</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w:t>
      </w:r>
      <w:r w:rsidRPr="00FA0B7E">
        <w:rPr>
          <w:rFonts w:ascii="Times New Roman" w:hAnsi="Times New Roman"/>
          <w:bCs/>
          <w:szCs w:val="21"/>
        </w:rPr>
        <w:t>7</w:t>
      </w:r>
      <w:r w:rsidRPr="00FA0B7E">
        <w:rPr>
          <w:rFonts w:ascii="Times New Roman" w:hAnsi="Times New Roman" w:hint="eastAsia"/>
          <w:bCs/>
          <w:szCs w:val="21"/>
        </w:rPr>
        <w:t>）对基金财产进行分配。</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5</w:t>
      </w:r>
      <w:r w:rsidR="00E026C9">
        <w:rPr>
          <w:rFonts w:ascii="Times New Roman" w:hAnsi="Times New Roman"/>
          <w:bCs/>
          <w:szCs w:val="21"/>
        </w:rPr>
        <w:t>、</w:t>
      </w:r>
      <w:r w:rsidRPr="00FA0B7E">
        <w:rPr>
          <w:rFonts w:ascii="Times New Roman" w:hAnsi="Times New Roman" w:hint="eastAsia"/>
          <w:bCs/>
          <w:szCs w:val="21"/>
        </w:rPr>
        <w:t>基金财产清算的期限为</w:t>
      </w:r>
      <w:r w:rsidRPr="00FA0B7E">
        <w:rPr>
          <w:rFonts w:ascii="Times New Roman" w:hAnsi="Times New Roman"/>
          <w:bCs/>
          <w:szCs w:val="21"/>
        </w:rPr>
        <w:t>6</w:t>
      </w:r>
      <w:r w:rsidRPr="00FA0B7E">
        <w:rPr>
          <w:rFonts w:ascii="Times New Roman" w:hAnsi="Times New Roman" w:hint="eastAsia"/>
          <w:bCs/>
          <w:szCs w:val="21"/>
        </w:rPr>
        <w:t>个月。</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6</w:t>
      </w:r>
      <w:r w:rsidR="00E026C9">
        <w:rPr>
          <w:rFonts w:ascii="Times New Roman" w:hAnsi="Times New Roman"/>
          <w:bCs/>
          <w:szCs w:val="21"/>
        </w:rPr>
        <w:t>、</w:t>
      </w:r>
      <w:r w:rsidRPr="00FA0B7E">
        <w:rPr>
          <w:rFonts w:ascii="Times New Roman" w:hAnsi="Times New Roman" w:hint="eastAsia"/>
          <w:bCs/>
          <w:szCs w:val="21"/>
        </w:rPr>
        <w:t>清算费用</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清算费用是指基金财产清算小组在进行基金清算过程中发生的所有合理费用，清算费用由基金财产清算小组优先从基金财产中支付。</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7</w:t>
      </w:r>
      <w:r w:rsidR="00E026C9">
        <w:rPr>
          <w:rFonts w:ascii="Times New Roman" w:hAnsi="Times New Roman"/>
          <w:bCs/>
          <w:szCs w:val="21"/>
        </w:rPr>
        <w:t>、</w:t>
      </w:r>
      <w:r w:rsidRPr="00FA0B7E">
        <w:rPr>
          <w:rFonts w:ascii="Times New Roman" w:hAnsi="Times New Roman" w:hint="eastAsia"/>
          <w:bCs/>
          <w:szCs w:val="21"/>
        </w:rPr>
        <w:t>基金财产清算剩余资产的分配</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依据基金财产清算的分配方案，将基金财产清算后的全部剩余资产扣除基金财产清算费用、交纳所欠税款并清偿基金债务后，按基金份额持有人持有的基金份额比例进行分配。</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8</w:t>
      </w:r>
      <w:r w:rsidR="00E026C9">
        <w:rPr>
          <w:rFonts w:ascii="Times New Roman" w:hAnsi="Times New Roman"/>
          <w:bCs/>
          <w:szCs w:val="21"/>
        </w:rPr>
        <w:t>、</w:t>
      </w:r>
      <w:r w:rsidRPr="00FA0B7E">
        <w:rPr>
          <w:rFonts w:ascii="Times New Roman" w:hAnsi="Times New Roman" w:hint="eastAsia"/>
          <w:bCs/>
          <w:szCs w:val="21"/>
        </w:rPr>
        <w:t>基金财产清算的公告</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A0B7E">
        <w:rPr>
          <w:rFonts w:ascii="Times New Roman" w:hAnsi="Times New Roman"/>
          <w:bCs/>
          <w:szCs w:val="21"/>
        </w:rPr>
        <w:t>5</w:t>
      </w:r>
      <w:r w:rsidRPr="00FA0B7E">
        <w:rPr>
          <w:rFonts w:ascii="Times New Roman" w:hAnsi="Times New Roman" w:hint="eastAsia"/>
          <w:bCs/>
          <w:szCs w:val="21"/>
        </w:rPr>
        <w:t>个工作日内由基金财产清算小组进行公告。</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9</w:t>
      </w:r>
      <w:r w:rsidR="00E026C9">
        <w:rPr>
          <w:rFonts w:ascii="Times New Roman" w:hAnsi="Times New Roman"/>
          <w:bCs/>
          <w:szCs w:val="21"/>
        </w:rPr>
        <w:t>、</w:t>
      </w:r>
      <w:r w:rsidRPr="00FA0B7E">
        <w:rPr>
          <w:rFonts w:ascii="Times New Roman" w:hAnsi="Times New Roman" w:hint="eastAsia"/>
          <w:bCs/>
          <w:szCs w:val="21"/>
        </w:rPr>
        <w:t>基金财产清算账册及文件的保存</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基金财产清算账册及有关文件由基金托管人保存</w:t>
      </w:r>
      <w:r w:rsidRPr="00FA0B7E">
        <w:rPr>
          <w:rFonts w:ascii="Times New Roman" w:hAnsi="Times New Roman"/>
          <w:bCs/>
          <w:szCs w:val="21"/>
        </w:rPr>
        <w:t>15</w:t>
      </w:r>
      <w:r w:rsidRPr="00FA0B7E">
        <w:rPr>
          <w:rFonts w:ascii="Times New Roman" w:hAnsi="Times New Roman" w:hint="eastAsia"/>
          <w:bCs/>
          <w:szCs w:val="21"/>
        </w:rPr>
        <w:t>年以上。</w:t>
      </w:r>
    </w:p>
    <w:p w:rsidR="0087107D" w:rsidRPr="00AB1F9E" w:rsidRDefault="00FA0B7E" w:rsidP="00A27EF8">
      <w:pPr>
        <w:pStyle w:val="a5"/>
        <w:spacing w:after="240"/>
        <w:rPr>
          <w:sz w:val="21"/>
          <w:szCs w:val="21"/>
        </w:rPr>
      </w:pPr>
      <w:bookmarkStart w:id="17" w:name="_Toc457223671"/>
      <w:r w:rsidRPr="00FA0B7E">
        <w:rPr>
          <w:rFonts w:hint="eastAsia"/>
          <w:sz w:val="21"/>
          <w:szCs w:val="21"/>
        </w:rPr>
        <w:t>十七、违约责任</w:t>
      </w:r>
      <w:bookmarkEnd w:id="17"/>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（一）基金管理人、基金托管人不履行本协议或履行本协议不符合约定的，应当承担违约责任。</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1</w:t>
      </w:r>
      <w:r w:rsidR="00E026C9">
        <w:rPr>
          <w:rFonts w:ascii="Times New Roman" w:hAnsi="Times New Roman"/>
          <w:bCs/>
          <w:szCs w:val="21"/>
        </w:rPr>
        <w:t>、</w:t>
      </w:r>
      <w:r w:rsidRPr="00FA0B7E">
        <w:rPr>
          <w:rFonts w:ascii="Times New Roman" w:hAnsi="Times New Roman" w:hint="eastAsia"/>
          <w:bCs/>
          <w:szCs w:val="21"/>
        </w:rPr>
        <w:t>不可抗力</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2</w:t>
      </w:r>
      <w:r w:rsidR="00E026C9">
        <w:rPr>
          <w:rFonts w:ascii="Times New Roman" w:hAnsi="Times New Roman"/>
          <w:bCs/>
          <w:szCs w:val="21"/>
        </w:rPr>
        <w:t>、</w:t>
      </w:r>
      <w:r w:rsidRPr="00FA0B7E">
        <w:rPr>
          <w:rFonts w:ascii="Times New Roman" w:hAnsi="Times New Roman" w:hint="eastAsia"/>
          <w:bCs/>
          <w:szCs w:val="21"/>
        </w:rPr>
        <w:t>基金管理人、基金托管人按照当时有效的法律法规或中国证监会的规定作为或不作为而造成的损失等</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bCs/>
          <w:szCs w:val="21"/>
        </w:rPr>
        <w:t>3</w:t>
      </w:r>
      <w:r w:rsidR="00E026C9">
        <w:rPr>
          <w:rFonts w:ascii="Times New Roman" w:hAnsi="Times New Roman"/>
          <w:bCs/>
          <w:szCs w:val="21"/>
        </w:rPr>
        <w:t>、</w:t>
      </w:r>
      <w:r w:rsidRPr="00FA0B7E">
        <w:rPr>
          <w:rFonts w:ascii="Times New Roman" w:hAnsi="Times New Roman" w:hint="eastAsia"/>
          <w:bCs/>
          <w:szCs w:val="21"/>
        </w:rPr>
        <w:t>在没有过错的情况下，基金管理人由于按照《基金合同》规定的投资原则投资或不投资造成的直接损失或潜在损失等</w:t>
      </w:r>
      <w:r w:rsidR="00E026C9">
        <w:rPr>
          <w:rFonts w:ascii="Times New Roman" w:hAnsi="Times New Roman" w:hint="eastAsia"/>
          <w:bCs/>
          <w:szCs w:val="21"/>
        </w:rPr>
        <w:t>。</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（四）一方当事人违约，另一方当事人在职责范围内有义务及时采取必要的措施，尽力防止损失的扩大。</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（五）违约行为虽已发生，但本托管协议能够继续履行的，在最大限度地保护基金份额持有人利益的前提下，基金管理人和基金托管人应当继续履行本协议。</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87107D" w:rsidRPr="00AB1F9E" w:rsidRDefault="00FA0B7E" w:rsidP="00A27EF8">
      <w:pPr>
        <w:pStyle w:val="a5"/>
        <w:spacing w:after="240"/>
        <w:rPr>
          <w:sz w:val="21"/>
          <w:szCs w:val="21"/>
        </w:rPr>
      </w:pPr>
      <w:bookmarkStart w:id="18" w:name="_Toc457223672"/>
      <w:r w:rsidRPr="00FA0B7E">
        <w:rPr>
          <w:rFonts w:hint="eastAsia"/>
          <w:sz w:val="21"/>
          <w:szCs w:val="21"/>
        </w:rPr>
        <w:t>十八、争议解决方式</w:t>
      </w:r>
      <w:bookmarkEnd w:id="18"/>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因本协议产生或与之相关的争议，双方当事人应通过协商、调解解决，协商、调解不能解决的，应提交中国国际经济贸易仲裁委员会，仲裁地点为北京市，按照中国国际经济贸易仲裁委员会届时有效的仲裁规则进行仲裁。仲裁裁决是终局的，对当事人均有约束力，仲裁费用由败诉方承担。</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争议处理期间，双方当事人应恪守基金管理人和基金托管人职责，各自继续忠实、勤勉、尽责地履行《基金合同》和本托管协议规定的义务，维护基金份额持有人的合法权益。</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本协议受中国法律管辖。</w:t>
      </w:r>
    </w:p>
    <w:p w:rsidR="0087107D" w:rsidRPr="00AB1F9E" w:rsidRDefault="00FA0B7E" w:rsidP="00A27EF8">
      <w:pPr>
        <w:pStyle w:val="a5"/>
        <w:spacing w:after="240"/>
        <w:rPr>
          <w:sz w:val="21"/>
          <w:szCs w:val="21"/>
        </w:rPr>
      </w:pPr>
      <w:bookmarkStart w:id="19" w:name="_Toc457223673"/>
      <w:r w:rsidRPr="00FA0B7E">
        <w:rPr>
          <w:rFonts w:hint="eastAsia"/>
          <w:sz w:val="21"/>
          <w:szCs w:val="21"/>
        </w:rPr>
        <w:t>十九、托管协议的效力</w:t>
      </w:r>
      <w:bookmarkEnd w:id="19"/>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双方对托管协议的效力约定如下：</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（一）基金管理人在向中国证监会申请发售基金份额时提交的托管协议草案，应经托管协议当事人双方盖章以及双方法定代表人或授权代表</w:t>
      </w:r>
      <w:r w:rsidR="00E254FA" w:rsidRPr="00617606">
        <w:rPr>
          <w:rFonts w:cs="Arial" w:hint="eastAsia"/>
        </w:rPr>
        <w:t>签字（</w:t>
      </w:r>
      <w:r w:rsidR="00E254FA">
        <w:rPr>
          <w:rFonts w:cs="Arial" w:hint="eastAsia"/>
        </w:rPr>
        <w:t>或</w:t>
      </w:r>
      <w:r w:rsidRPr="00FA0B7E">
        <w:rPr>
          <w:rFonts w:ascii="Times New Roman" w:hAnsi="Times New Roman" w:hint="eastAsia"/>
          <w:bCs/>
          <w:szCs w:val="21"/>
        </w:rPr>
        <w:t>盖章</w:t>
      </w:r>
      <w:r w:rsidR="00E254FA">
        <w:rPr>
          <w:rFonts w:ascii="Times New Roman" w:hAnsi="Times New Roman" w:hint="eastAsia"/>
          <w:bCs/>
          <w:szCs w:val="21"/>
        </w:rPr>
        <w:t>）</w:t>
      </w:r>
      <w:r w:rsidRPr="00FA0B7E">
        <w:rPr>
          <w:rFonts w:ascii="Times New Roman" w:hAnsi="Times New Roman" w:hint="eastAsia"/>
          <w:bCs/>
          <w:szCs w:val="21"/>
        </w:rPr>
        <w:t>，协议当事人双方根据中国证监会的意见修改托管协议草案。托管协议以中国证监会备案的文本为正式文本。</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（二）托管协议自《基金合同》成立之日起成立，自《基金合同》生效之日起生效。托管协议的有效期自其生效之日起至基金财产清算结果报中国证监会备案并公告之日止。</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（三）托管协议自生效之日起对托管协议当事人具有同等的法律约束力。</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（四）本协议一式六份，协议双方各持二份，上报监管机构二份，每份具有同等的法律效力。</w:t>
      </w:r>
    </w:p>
    <w:p w:rsidR="0087107D" w:rsidRPr="00AB1F9E" w:rsidRDefault="00FA0B7E" w:rsidP="00A27EF8">
      <w:pPr>
        <w:pStyle w:val="a5"/>
        <w:spacing w:after="240"/>
        <w:rPr>
          <w:sz w:val="21"/>
          <w:szCs w:val="21"/>
        </w:rPr>
      </w:pPr>
      <w:bookmarkStart w:id="20" w:name="_Toc457223674"/>
      <w:r w:rsidRPr="00FA0B7E">
        <w:rPr>
          <w:rFonts w:hint="eastAsia"/>
          <w:sz w:val="21"/>
          <w:szCs w:val="21"/>
        </w:rPr>
        <w:t>二十、其他事项</w:t>
      </w:r>
      <w:bookmarkEnd w:id="20"/>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如发生有权司法机关依法冻结基金份额持有人的基金份额时，基金管理人应予以配合，承担司法协助义务。</w:t>
      </w:r>
    </w:p>
    <w:p w:rsidR="00FA0B7E" w:rsidRPr="00FA0B7E" w:rsidRDefault="00FA0B7E" w:rsidP="00FA0B7E">
      <w:pPr>
        <w:spacing w:line="360" w:lineRule="auto"/>
        <w:ind w:firstLineChars="200" w:firstLine="420"/>
        <w:rPr>
          <w:rFonts w:ascii="Times New Roman" w:hAnsi="Times New Roman"/>
          <w:bCs/>
          <w:szCs w:val="21"/>
        </w:rPr>
      </w:pPr>
      <w:r w:rsidRPr="00FA0B7E">
        <w:rPr>
          <w:rFonts w:ascii="Times New Roman" w:hAnsi="Times New Roman" w:hint="eastAsia"/>
          <w:bCs/>
          <w:szCs w:val="21"/>
        </w:rPr>
        <w:t>除本协议有明确定义外，本协议的用语定义适用《基金合同》的约定。本协议未尽事宜，当事人依据《基金合同》、有关法律法规等规定协商办理。</w:t>
      </w:r>
    </w:p>
    <w:p w:rsidR="0087107D" w:rsidRPr="00AB1F9E" w:rsidRDefault="00FA0B7E" w:rsidP="00A27EF8">
      <w:pPr>
        <w:pStyle w:val="a5"/>
        <w:spacing w:after="240"/>
        <w:rPr>
          <w:sz w:val="21"/>
          <w:szCs w:val="21"/>
        </w:rPr>
      </w:pPr>
      <w:bookmarkStart w:id="21" w:name="_Toc457223675"/>
      <w:r w:rsidRPr="00FA0B7E">
        <w:rPr>
          <w:rFonts w:hint="eastAsia"/>
          <w:sz w:val="21"/>
          <w:szCs w:val="21"/>
        </w:rPr>
        <w:t>二十一、托管协议的签订</w:t>
      </w:r>
      <w:bookmarkEnd w:id="21"/>
    </w:p>
    <w:p w:rsidR="00E77525" w:rsidRDefault="00FA0B7E" w:rsidP="00426BD1">
      <w:pPr>
        <w:spacing w:line="360" w:lineRule="auto"/>
        <w:ind w:firstLineChars="200" w:firstLine="420"/>
        <w:rPr>
          <w:b/>
        </w:rPr>
      </w:pPr>
      <w:r w:rsidRPr="00FA0B7E">
        <w:rPr>
          <w:rFonts w:ascii="Times New Roman" w:hAnsi="Times New Roman" w:hint="eastAsia"/>
          <w:bCs/>
          <w:szCs w:val="21"/>
        </w:rPr>
        <w:t>本协议双方法定代表人或授权代表签章、签订地、签订日。</w:t>
      </w:r>
    </w:p>
    <w:sectPr w:rsidR="00E77525" w:rsidSect="00E026C9">
      <w:pgSz w:w="11904" w:h="17340"/>
      <w:pgMar w:top="1440" w:right="1800" w:bottom="1440" w:left="1800" w:header="720" w:footer="720" w:gutter="0"/>
      <w:pgNumType w:start="1"/>
      <w:cols w:space="720"/>
      <w:noEndnote/>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327" w:rsidRDefault="00B00327" w:rsidP="0087107D">
      <w:r>
        <w:separator/>
      </w:r>
    </w:p>
  </w:endnote>
  <w:endnote w:type="continuationSeparator" w:id="0">
    <w:p w:rsidR="00B00327" w:rsidRDefault="00B00327" w:rsidP="008710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51" w:rsidRDefault="0072275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7E" w:rsidRPr="00FA0B7E" w:rsidRDefault="00E77525" w:rsidP="00FA0B7E">
    <w:pPr>
      <w:pStyle w:val="a4"/>
      <w:jc w:val="center"/>
      <w:rPr>
        <w:rFonts w:ascii="Times New Roman" w:hAnsi="Times New Roman"/>
      </w:rPr>
    </w:pPr>
    <w:r w:rsidRPr="00FA0B7E">
      <w:rPr>
        <w:rFonts w:ascii="Times New Roman" w:hAnsi="Times New Roman"/>
      </w:rPr>
      <w:fldChar w:fldCharType="begin"/>
    </w:r>
    <w:r w:rsidR="00FA0B7E" w:rsidRPr="00FA0B7E">
      <w:rPr>
        <w:rFonts w:ascii="Times New Roman" w:hAnsi="Times New Roman"/>
      </w:rPr>
      <w:instrText xml:space="preserve"> PAGE   \* MERGEFORMAT </w:instrText>
    </w:r>
    <w:r w:rsidRPr="00FA0B7E">
      <w:rPr>
        <w:rFonts w:ascii="Times New Roman" w:hAnsi="Times New Roman"/>
      </w:rPr>
      <w:fldChar w:fldCharType="separate"/>
    </w:r>
    <w:r w:rsidR="00FA1F0E" w:rsidRPr="00FA1F0E">
      <w:rPr>
        <w:rFonts w:ascii="Times New Roman" w:hAnsi="Times New Roman"/>
        <w:noProof/>
        <w:lang w:val="zh-CN"/>
      </w:rPr>
      <w:t>1</w:t>
    </w:r>
    <w:r w:rsidRPr="00FA0B7E">
      <w:rPr>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51" w:rsidRDefault="007227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327" w:rsidRDefault="00B00327" w:rsidP="0087107D">
      <w:r>
        <w:separator/>
      </w:r>
    </w:p>
  </w:footnote>
  <w:footnote w:type="continuationSeparator" w:id="0">
    <w:p w:rsidR="00B00327" w:rsidRDefault="00B00327" w:rsidP="008710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51" w:rsidRDefault="0072275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7E" w:rsidRDefault="005A2D97" w:rsidP="00FA0B7E">
    <w:pPr>
      <w:pStyle w:val="a3"/>
      <w:jc w:val="right"/>
    </w:pPr>
    <w:r w:rsidRPr="008F004E">
      <w:rPr>
        <w:rFonts w:hint="eastAsia"/>
        <w:noProof/>
      </w:rPr>
      <w:t>华夏可转债增强债券型证券投资基金</w:t>
    </w:r>
    <w:r>
      <w:rPr>
        <w:rFonts w:hint="eastAsia"/>
        <w:lang w:val="zh-CN"/>
      </w:rPr>
      <w:t>托管协议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7E" w:rsidRDefault="00FA0B7E" w:rsidP="00FA0B7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D77C0C"/>
    <w:multiLevelType w:val="hybridMultilevel"/>
    <w:tmpl w:val="0299EC9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82F4CB2"/>
    <w:multiLevelType w:val="hybridMultilevel"/>
    <w:tmpl w:val="40CE3929"/>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C8E4464"/>
    <w:multiLevelType w:val="hybridMultilevel"/>
    <w:tmpl w:val="D5BA43F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E0AADE9"/>
    <w:multiLevelType w:val="hybridMultilevel"/>
    <w:tmpl w:val="58D002C7"/>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4AB5BEE"/>
    <w:multiLevelType w:val="hybridMultilevel"/>
    <w:tmpl w:val="C36DD1A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A7CB922F"/>
    <w:multiLevelType w:val="hybridMultilevel"/>
    <w:tmpl w:val="9EB4840A"/>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A8BB916C"/>
    <w:multiLevelType w:val="hybridMultilevel"/>
    <w:tmpl w:val="D12C74C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A8E10820"/>
    <w:multiLevelType w:val="hybridMultilevel"/>
    <w:tmpl w:val="9B7FC9A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ABC43941"/>
    <w:multiLevelType w:val="hybridMultilevel"/>
    <w:tmpl w:val="67256683"/>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B4C0D8A1"/>
    <w:multiLevelType w:val="hybridMultilevel"/>
    <w:tmpl w:val="8A7A8CF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B9893426"/>
    <w:multiLevelType w:val="hybridMultilevel"/>
    <w:tmpl w:val="F13B1D5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B9A45091"/>
    <w:multiLevelType w:val="hybridMultilevel"/>
    <w:tmpl w:val="0CE2825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C9CEC917"/>
    <w:multiLevelType w:val="hybridMultilevel"/>
    <w:tmpl w:val="E64775B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D2043A2D"/>
    <w:multiLevelType w:val="hybridMultilevel"/>
    <w:tmpl w:val="7FC1BFE5"/>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D20A1440"/>
    <w:multiLevelType w:val="hybridMultilevel"/>
    <w:tmpl w:val="FDB4CC1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D3B4E3D7"/>
    <w:multiLevelType w:val="hybridMultilevel"/>
    <w:tmpl w:val="97CC6F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E65B2909"/>
    <w:multiLevelType w:val="hybridMultilevel"/>
    <w:tmpl w:val="AF4D819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F8CDF7A2"/>
    <w:multiLevelType w:val="hybridMultilevel"/>
    <w:tmpl w:val="486AFDB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F94C66B1"/>
    <w:multiLevelType w:val="hybridMultilevel"/>
    <w:tmpl w:val="620EC13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F98FEF00"/>
    <w:multiLevelType w:val="hybridMultilevel"/>
    <w:tmpl w:val="CDE1F1F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FD1CC04F"/>
    <w:multiLevelType w:val="hybridMultilevel"/>
    <w:tmpl w:val="AE9669E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2EA597A"/>
    <w:multiLevelType w:val="hybridMultilevel"/>
    <w:tmpl w:val="7B1829E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163AF858"/>
    <w:multiLevelType w:val="hybridMultilevel"/>
    <w:tmpl w:val="E034E60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1A571415"/>
    <w:multiLevelType w:val="multilevel"/>
    <w:tmpl w:val="C6C4D830"/>
    <w:lvl w:ilvl="0">
      <w:start w:val="1"/>
      <w:numFmt w:val="ideographDigital"/>
      <w:lvlText w:val="."/>
      <w:lvlJc w:val="left"/>
      <w:rPr>
        <w:rFonts w:cs="Times New Roman"/>
      </w:rPr>
    </w:lvl>
    <w:lvl w:ilvl="1">
      <w:start w:val="1"/>
      <w:numFmt w:val="ideographDigital"/>
      <w:lvlText w:val="."/>
      <w:lvlJc w:val="left"/>
      <w:rPr>
        <w:rFonts w:cs="Times New Roman"/>
      </w:rPr>
    </w:lvl>
    <w:lvl w:ilvl="2">
      <w:start w:val="1"/>
      <w:numFmt w:val="decimal"/>
      <w:lvlText w:val="%1."/>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3EC7F5E9"/>
    <w:multiLevelType w:val="hybridMultilevel"/>
    <w:tmpl w:val="071DBB1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5389FF0A"/>
    <w:multiLevelType w:val="hybridMultilevel"/>
    <w:tmpl w:val="B5F0157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54ED5533"/>
    <w:multiLevelType w:val="hybridMultilevel"/>
    <w:tmpl w:val="E055AF0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5C46156D"/>
    <w:multiLevelType w:val="hybridMultilevel"/>
    <w:tmpl w:val="0222446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C6D277E"/>
    <w:multiLevelType w:val="hybridMultilevel"/>
    <w:tmpl w:val="DB91FC3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5D964803"/>
    <w:multiLevelType w:val="hybridMultilevel"/>
    <w:tmpl w:val="6EE0AF2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670D8E02"/>
    <w:multiLevelType w:val="hybridMultilevel"/>
    <w:tmpl w:val="ECC396F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694247BD"/>
    <w:multiLevelType w:val="hybridMultilevel"/>
    <w:tmpl w:val="2669E13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7677DF4D"/>
    <w:multiLevelType w:val="hybridMultilevel"/>
    <w:tmpl w:val="905E922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77265DF5"/>
    <w:multiLevelType w:val="hybridMultilevel"/>
    <w:tmpl w:val="55041B9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7D6445CD"/>
    <w:multiLevelType w:val="hybridMultilevel"/>
    <w:tmpl w:val="1345FC6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7FF67C04"/>
    <w:multiLevelType w:val="hybridMultilevel"/>
    <w:tmpl w:val="06B6023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3"/>
  </w:num>
  <w:num w:numId="2">
    <w:abstractNumId w:val="3"/>
  </w:num>
  <w:num w:numId="3">
    <w:abstractNumId w:val="15"/>
  </w:num>
  <w:num w:numId="4">
    <w:abstractNumId w:val="4"/>
  </w:num>
  <w:num w:numId="5">
    <w:abstractNumId w:val="18"/>
  </w:num>
  <w:num w:numId="6">
    <w:abstractNumId w:val="28"/>
  </w:num>
  <w:num w:numId="7">
    <w:abstractNumId w:val="23"/>
  </w:num>
  <w:num w:numId="8">
    <w:abstractNumId w:val="5"/>
  </w:num>
  <w:num w:numId="9">
    <w:abstractNumId w:val="9"/>
  </w:num>
  <w:num w:numId="10">
    <w:abstractNumId w:val="30"/>
  </w:num>
  <w:num w:numId="11">
    <w:abstractNumId w:val="2"/>
  </w:num>
  <w:num w:numId="12">
    <w:abstractNumId w:val="35"/>
  </w:num>
  <w:num w:numId="13">
    <w:abstractNumId w:val="21"/>
  </w:num>
  <w:num w:numId="14">
    <w:abstractNumId w:val="1"/>
  </w:num>
  <w:num w:numId="15">
    <w:abstractNumId w:val="7"/>
  </w:num>
  <w:num w:numId="16">
    <w:abstractNumId w:val="8"/>
  </w:num>
  <w:num w:numId="17">
    <w:abstractNumId w:val="11"/>
  </w:num>
  <w:num w:numId="18">
    <w:abstractNumId w:val="20"/>
  </w:num>
  <w:num w:numId="19">
    <w:abstractNumId w:val="16"/>
  </w:num>
  <w:num w:numId="20">
    <w:abstractNumId w:val="17"/>
  </w:num>
  <w:num w:numId="21">
    <w:abstractNumId w:val="27"/>
  </w:num>
  <w:num w:numId="22">
    <w:abstractNumId w:val="19"/>
  </w:num>
  <w:num w:numId="23">
    <w:abstractNumId w:val="32"/>
  </w:num>
  <w:num w:numId="24">
    <w:abstractNumId w:val="22"/>
  </w:num>
  <w:num w:numId="25">
    <w:abstractNumId w:val="31"/>
  </w:num>
  <w:num w:numId="26">
    <w:abstractNumId w:val="6"/>
  </w:num>
  <w:num w:numId="27">
    <w:abstractNumId w:val="34"/>
  </w:num>
  <w:num w:numId="28">
    <w:abstractNumId w:val="25"/>
  </w:num>
  <w:num w:numId="29">
    <w:abstractNumId w:val="33"/>
  </w:num>
  <w:num w:numId="30">
    <w:abstractNumId w:val="29"/>
  </w:num>
  <w:num w:numId="31">
    <w:abstractNumId w:val="0"/>
  </w:num>
  <w:num w:numId="32">
    <w:abstractNumId w:val="12"/>
  </w:num>
  <w:num w:numId="33">
    <w:abstractNumId w:val="24"/>
  </w:num>
  <w:num w:numId="34">
    <w:abstractNumId w:val="10"/>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08BD"/>
    <w:rsid w:val="00080EA9"/>
    <w:rsid w:val="000A7D82"/>
    <w:rsid w:val="000C5983"/>
    <w:rsid w:val="000F0BD1"/>
    <w:rsid w:val="000F6FC8"/>
    <w:rsid w:val="00103C35"/>
    <w:rsid w:val="00112CB0"/>
    <w:rsid w:val="00121C66"/>
    <w:rsid w:val="001408BD"/>
    <w:rsid w:val="00151B3F"/>
    <w:rsid w:val="0016630A"/>
    <w:rsid w:val="00173136"/>
    <w:rsid w:val="001E08DF"/>
    <w:rsid w:val="001E3373"/>
    <w:rsid w:val="001F5DE9"/>
    <w:rsid w:val="00200AA8"/>
    <w:rsid w:val="00231703"/>
    <w:rsid w:val="002358DA"/>
    <w:rsid w:val="0027138C"/>
    <w:rsid w:val="00271A3C"/>
    <w:rsid w:val="002D17BA"/>
    <w:rsid w:val="002E0D44"/>
    <w:rsid w:val="00301D17"/>
    <w:rsid w:val="00312674"/>
    <w:rsid w:val="003460E7"/>
    <w:rsid w:val="00355567"/>
    <w:rsid w:val="00365886"/>
    <w:rsid w:val="003A6434"/>
    <w:rsid w:val="004073BF"/>
    <w:rsid w:val="00412CFC"/>
    <w:rsid w:val="00426BD1"/>
    <w:rsid w:val="00443044"/>
    <w:rsid w:val="004F1C98"/>
    <w:rsid w:val="0050000C"/>
    <w:rsid w:val="00511365"/>
    <w:rsid w:val="00556122"/>
    <w:rsid w:val="0057540D"/>
    <w:rsid w:val="005843E7"/>
    <w:rsid w:val="005A2D97"/>
    <w:rsid w:val="00602714"/>
    <w:rsid w:val="00627628"/>
    <w:rsid w:val="006D2666"/>
    <w:rsid w:val="00722751"/>
    <w:rsid w:val="0073020E"/>
    <w:rsid w:val="007676B6"/>
    <w:rsid w:val="007B6B4A"/>
    <w:rsid w:val="007C64F5"/>
    <w:rsid w:val="007D4A37"/>
    <w:rsid w:val="007F4B33"/>
    <w:rsid w:val="00832149"/>
    <w:rsid w:val="0087107D"/>
    <w:rsid w:val="00873757"/>
    <w:rsid w:val="00876445"/>
    <w:rsid w:val="008A7179"/>
    <w:rsid w:val="008E327C"/>
    <w:rsid w:val="008F004E"/>
    <w:rsid w:val="008F3BB5"/>
    <w:rsid w:val="009273FF"/>
    <w:rsid w:val="00984B58"/>
    <w:rsid w:val="009867FF"/>
    <w:rsid w:val="009C27BA"/>
    <w:rsid w:val="00A01380"/>
    <w:rsid w:val="00A1280F"/>
    <w:rsid w:val="00A13884"/>
    <w:rsid w:val="00A27EF8"/>
    <w:rsid w:val="00A6769D"/>
    <w:rsid w:val="00A75C6D"/>
    <w:rsid w:val="00AA5C04"/>
    <w:rsid w:val="00AB00ED"/>
    <w:rsid w:val="00AB1F9E"/>
    <w:rsid w:val="00B00327"/>
    <w:rsid w:val="00B71984"/>
    <w:rsid w:val="00B72B94"/>
    <w:rsid w:val="00BC4B69"/>
    <w:rsid w:val="00BE727A"/>
    <w:rsid w:val="00C04A0A"/>
    <w:rsid w:val="00C10B6D"/>
    <w:rsid w:val="00C17CB1"/>
    <w:rsid w:val="00C310C4"/>
    <w:rsid w:val="00C4265F"/>
    <w:rsid w:val="00C63991"/>
    <w:rsid w:val="00C91B86"/>
    <w:rsid w:val="00D47B22"/>
    <w:rsid w:val="00D65545"/>
    <w:rsid w:val="00DA38CE"/>
    <w:rsid w:val="00E026C9"/>
    <w:rsid w:val="00E15C95"/>
    <w:rsid w:val="00E247F0"/>
    <w:rsid w:val="00E254FA"/>
    <w:rsid w:val="00E31A54"/>
    <w:rsid w:val="00E32FBF"/>
    <w:rsid w:val="00E37DAC"/>
    <w:rsid w:val="00E77525"/>
    <w:rsid w:val="00ED2C68"/>
    <w:rsid w:val="00F16962"/>
    <w:rsid w:val="00F81D57"/>
    <w:rsid w:val="00FA0B7E"/>
    <w:rsid w:val="00FA1F0E"/>
    <w:rsid w:val="00FC64B7"/>
    <w:rsid w:val="00FF6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B94"/>
    <w:pPr>
      <w:widowControl w:val="0"/>
      <w:jc w:val="both"/>
    </w:pPr>
    <w:rPr>
      <w:kern w:val="2"/>
      <w:sz w:val="21"/>
      <w:szCs w:val="22"/>
    </w:rPr>
  </w:style>
  <w:style w:type="paragraph" w:styleId="1">
    <w:name w:val="heading 1"/>
    <w:basedOn w:val="a"/>
    <w:next w:val="a"/>
    <w:link w:val="1Char"/>
    <w:uiPriority w:val="9"/>
    <w:qFormat/>
    <w:rsid w:val="0073020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73020E"/>
    <w:rPr>
      <w:rFonts w:cs="Times New Roman"/>
      <w:b/>
      <w:bCs/>
      <w:kern w:val="44"/>
      <w:sz w:val="44"/>
      <w:szCs w:val="44"/>
    </w:rPr>
  </w:style>
  <w:style w:type="paragraph" w:customStyle="1" w:styleId="Default">
    <w:name w:val="Default"/>
    <w:rsid w:val="00B72B94"/>
    <w:pPr>
      <w:widowControl w:val="0"/>
      <w:autoSpaceDE w:val="0"/>
      <w:autoSpaceDN w:val="0"/>
      <w:adjustRightInd w:val="0"/>
    </w:pPr>
    <w:rPr>
      <w:rFonts w:ascii="宋体" w:cs="宋体"/>
      <w:color w:val="000000"/>
      <w:sz w:val="24"/>
      <w:szCs w:val="24"/>
    </w:rPr>
  </w:style>
  <w:style w:type="paragraph" w:customStyle="1" w:styleId="CM1">
    <w:name w:val="CM1"/>
    <w:basedOn w:val="Default"/>
    <w:next w:val="Default"/>
    <w:uiPriority w:val="99"/>
    <w:rsid w:val="00B72B94"/>
    <w:pPr>
      <w:spacing w:line="468" w:lineRule="atLeast"/>
    </w:pPr>
    <w:rPr>
      <w:rFonts w:cs="Times New Roman"/>
      <w:color w:val="auto"/>
    </w:rPr>
  </w:style>
  <w:style w:type="paragraph" w:customStyle="1" w:styleId="CM2">
    <w:name w:val="CM2"/>
    <w:basedOn w:val="Default"/>
    <w:next w:val="Default"/>
    <w:uiPriority w:val="99"/>
    <w:rsid w:val="00B72B94"/>
    <w:pPr>
      <w:spacing w:line="468" w:lineRule="atLeast"/>
    </w:pPr>
    <w:rPr>
      <w:rFonts w:cs="Times New Roman"/>
      <w:color w:val="auto"/>
    </w:rPr>
  </w:style>
  <w:style w:type="paragraph" w:customStyle="1" w:styleId="CM20">
    <w:name w:val="CM20"/>
    <w:basedOn w:val="Default"/>
    <w:next w:val="Default"/>
    <w:uiPriority w:val="99"/>
    <w:rsid w:val="00B72B94"/>
    <w:rPr>
      <w:rFonts w:cs="Times New Roman"/>
      <w:color w:val="auto"/>
    </w:rPr>
  </w:style>
  <w:style w:type="paragraph" w:customStyle="1" w:styleId="CM3">
    <w:name w:val="CM3"/>
    <w:basedOn w:val="Default"/>
    <w:next w:val="Default"/>
    <w:uiPriority w:val="99"/>
    <w:rsid w:val="00B72B94"/>
    <w:rPr>
      <w:rFonts w:cs="Times New Roman"/>
      <w:color w:val="auto"/>
    </w:rPr>
  </w:style>
  <w:style w:type="paragraph" w:customStyle="1" w:styleId="CM21">
    <w:name w:val="CM21"/>
    <w:basedOn w:val="Default"/>
    <w:next w:val="Default"/>
    <w:uiPriority w:val="99"/>
    <w:rsid w:val="00B72B94"/>
    <w:rPr>
      <w:rFonts w:cs="Times New Roman"/>
      <w:color w:val="auto"/>
    </w:rPr>
  </w:style>
  <w:style w:type="paragraph" w:customStyle="1" w:styleId="CM4">
    <w:name w:val="CM4"/>
    <w:basedOn w:val="Default"/>
    <w:next w:val="Default"/>
    <w:uiPriority w:val="99"/>
    <w:rsid w:val="00B72B94"/>
    <w:pPr>
      <w:spacing w:line="468" w:lineRule="atLeast"/>
    </w:pPr>
    <w:rPr>
      <w:rFonts w:cs="Times New Roman"/>
      <w:color w:val="auto"/>
    </w:rPr>
  </w:style>
  <w:style w:type="paragraph" w:customStyle="1" w:styleId="CM5">
    <w:name w:val="CM5"/>
    <w:basedOn w:val="Default"/>
    <w:next w:val="Default"/>
    <w:uiPriority w:val="99"/>
    <w:rsid w:val="00B72B94"/>
    <w:pPr>
      <w:spacing w:line="468" w:lineRule="atLeast"/>
    </w:pPr>
    <w:rPr>
      <w:rFonts w:cs="Times New Roman"/>
      <w:color w:val="auto"/>
    </w:rPr>
  </w:style>
  <w:style w:type="paragraph" w:customStyle="1" w:styleId="CM6">
    <w:name w:val="CM6"/>
    <w:basedOn w:val="Default"/>
    <w:next w:val="Default"/>
    <w:uiPriority w:val="99"/>
    <w:rsid w:val="00B72B94"/>
    <w:pPr>
      <w:spacing w:line="466" w:lineRule="atLeast"/>
    </w:pPr>
    <w:rPr>
      <w:rFonts w:cs="Times New Roman"/>
      <w:color w:val="auto"/>
    </w:rPr>
  </w:style>
  <w:style w:type="paragraph" w:customStyle="1" w:styleId="CM24">
    <w:name w:val="CM24"/>
    <w:basedOn w:val="Default"/>
    <w:next w:val="Default"/>
    <w:uiPriority w:val="99"/>
    <w:rsid w:val="00B72B94"/>
    <w:rPr>
      <w:rFonts w:cs="Times New Roman"/>
      <w:color w:val="auto"/>
    </w:rPr>
  </w:style>
  <w:style w:type="paragraph" w:customStyle="1" w:styleId="CM25">
    <w:name w:val="CM25"/>
    <w:basedOn w:val="Default"/>
    <w:next w:val="Default"/>
    <w:uiPriority w:val="99"/>
    <w:rsid w:val="00B72B94"/>
    <w:rPr>
      <w:rFonts w:cs="Times New Roman"/>
      <w:color w:val="auto"/>
    </w:rPr>
  </w:style>
  <w:style w:type="paragraph" w:customStyle="1" w:styleId="CM7">
    <w:name w:val="CM7"/>
    <w:basedOn w:val="Default"/>
    <w:next w:val="Default"/>
    <w:uiPriority w:val="99"/>
    <w:rsid w:val="00B72B94"/>
    <w:pPr>
      <w:spacing w:line="468" w:lineRule="atLeast"/>
    </w:pPr>
    <w:rPr>
      <w:rFonts w:cs="Times New Roman"/>
      <w:color w:val="auto"/>
    </w:rPr>
  </w:style>
  <w:style w:type="paragraph" w:customStyle="1" w:styleId="CM27">
    <w:name w:val="CM27"/>
    <w:basedOn w:val="Default"/>
    <w:next w:val="Default"/>
    <w:uiPriority w:val="99"/>
    <w:rsid w:val="00B72B94"/>
    <w:rPr>
      <w:rFonts w:cs="Times New Roman"/>
      <w:color w:val="auto"/>
    </w:rPr>
  </w:style>
  <w:style w:type="paragraph" w:customStyle="1" w:styleId="CM10">
    <w:name w:val="CM10"/>
    <w:basedOn w:val="Default"/>
    <w:next w:val="Default"/>
    <w:uiPriority w:val="99"/>
    <w:rsid w:val="00B72B94"/>
    <w:pPr>
      <w:spacing w:line="468" w:lineRule="atLeast"/>
    </w:pPr>
    <w:rPr>
      <w:rFonts w:cs="Times New Roman"/>
      <w:color w:val="auto"/>
    </w:rPr>
  </w:style>
  <w:style w:type="paragraph" w:customStyle="1" w:styleId="CM13">
    <w:name w:val="CM13"/>
    <w:basedOn w:val="Default"/>
    <w:next w:val="Default"/>
    <w:uiPriority w:val="99"/>
    <w:rsid w:val="00B72B94"/>
    <w:pPr>
      <w:spacing w:line="468" w:lineRule="atLeast"/>
    </w:pPr>
    <w:rPr>
      <w:rFonts w:cs="Times New Roman"/>
      <w:color w:val="auto"/>
    </w:rPr>
  </w:style>
  <w:style w:type="paragraph" w:customStyle="1" w:styleId="CM14">
    <w:name w:val="CM14"/>
    <w:basedOn w:val="Default"/>
    <w:next w:val="Default"/>
    <w:uiPriority w:val="99"/>
    <w:rsid w:val="00B72B94"/>
    <w:pPr>
      <w:spacing w:line="468" w:lineRule="atLeast"/>
    </w:pPr>
    <w:rPr>
      <w:rFonts w:cs="Times New Roman"/>
      <w:color w:val="auto"/>
    </w:rPr>
  </w:style>
  <w:style w:type="paragraph" w:customStyle="1" w:styleId="CM26">
    <w:name w:val="CM26"/>
    <w:basedOn w:val="Default"/>
    <w:next w:val="Default"/>
    <w:uiPriority w:val="99"/>
    <w:rsid w:val="00B72B94"/>
    <w:rPr>
      <w:rFonts w:cs="Times New Roman"/>
      <w:color w:val="auto"/>
    </w:rPr>
  </w:style>
  <w:style w:type="paragraph" w:customStyle="1" w:styleId="CM15">
    <w:name w:val="CM15"/>
    <w:basedOn w:val="Default"/>
    <w:next w:val="Default"/>
    <w:uiPriority w:val="99"/>
    <w:rsid w:val="00B72B94"/>
    <w:pPr>
      <w:spacing w:line="468" w:lineRule="atLeast"/>
    </w:pPr>
    <w:rPr>
      <w:rFonts w:cs="Times New Roman"/>
      <w:color w:val="auto"/>
    </w:rPr>
  </w:style>
  <w:style w:type="paragraph" w:customStyle="1" w:styleId="CM28">
    <w:name w:val="CM28"/>
    <w:basedOn w:val="Default"/>
    <w:next w:val="Default"/>
    <w:uiPriority w:val="99"/>
    <w:rsid w:val="00B72B94"/>
    <w:rPr>
      <w:rFonts w:cs="Times New Roman"/>
      <w:color w:val="auto"/>
    </w:rPr>
  </w:style>
  <w:style w:type="paragraph" w:customStyle="1" w:styleId="CM23">
    <w:name w:val="CM23"/>
    <w:basedOn w:val="Default"/>
    <w:next w:val="Default"/>
    <w:uiPriority w:val="99"/>
    <w:rsid w:val="00B72B94"/>
    <w:rPr>
      <w:rFonts w:cs="Times New Roman"/>
      <w:color w:val="auto"/>
    </w:rPr>
  </w:style>
  <w:style w:type="paragraph" w:customStyle="1" w:styleId="CM30">
    <w:name w:val="CM30"/>
    <w:basedOn w:val="Default"/>
    <w:next w:val="Default"/>
    <w:uiPriority w:val="99"/>
    <w:rsid w:val="00B72B94"/>
    <w:rPr>
      <w:rFonts w:cs="Times New Roman"/>
      <w:color w:val="auto"/>
    </w:rPr>
  </w:style>
  <w:style w:type="paragraph" w:customStyle="1" w:styleId="CM22">
    <w:name w:val="CM22"/>
    <w:basedOn w:val="Default"/>
    <w:next w:val="Default"/>
    <w:uiPriority w:val="99"/>
    <w:rsid w:val="00B72B94"/>
    <w:rPr>
      <w:rFonts w:cs="Times New Roman"/>
      <w:color w:val="auto"/>
    </w:rPr>
  </w:style>
  <w:style w:type="paragraph" w:customStyle="1" w:styleId="CM31">
    <w:name w:val="CM31"/>
    <w:basedOn w:val="Default"/>
    <w:next w:val="Default"/>
    <w:uiPriority w:val="99"/>
    <w:rsid w:val="00B72B94"/>
    <w:rPr>
      <w:rFonts w:cs="Times New Roman"/>
      <w:color w:val="auto"/>
    </w:rPr>
  </w:style>
  <w:style w:type="paragraph" w:customStyle="1" w:styleId="CM29">
    <w:name w:val="CM29"/>
    <w:basedOn w:val="Default"/>
    <w:next w:val="Default"/>
    <w:uiPriority w:val="99"/>
    <w:rsid w:val="00B72B94"/>
    <w:rPr>
      <w:rFonts w:cs="Times New Roman"/>
      <w:color w:val="auto"/>
    </w:rPr>
  </w:style>
  <w:style w:type="paragraph" w:styleId="a3">
    <w:name w:val="header"/>
    <w:basedOn w:val="a"/>
    <w:link w:val="Char"/>
    <w:uiPriority w:val="99"/>
    <w:unhideWhenUsed/>
    <w:rsid w:val="008710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87107D"/>
    <w:rPr>
      <w:rFonts w:cs="Times New Roman"/>
      <w:sz w:val="18"/>
      <w:szCs w:val="18"/>
    </w:rPr>
  </w:style>
  <w:style w:type="paragraph" w:styleId="a4">
    <w:name w:val="footer"/>
    <w:basedOn w:val="a"/>
    <w:link w:val="Char0"/>
    <w:uiPriority w:val="99"/>
    <w:unhideWhenUsed/>
    <w:rsid w:val="0087107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7107D"/>
    <w:rPr>
      <w:rFonts w:cs="Times New Roman"/>
      <w:sz w:val="18"/>
      <w:szCs w:val="18"/>
    </w:rPr>
  </w:style>
  <w:style w:type="paragraph" w:styleId="a5">
    <w:name w:val="Title"/>
    <w:basedOn w:val="a"/>
    <w:next w:val="a"/>
    <w:link w:val="Char1"/>
    <w:uiPriority w:val="10"/>
    <w:qFormat/>
    <w:rsid w:val="0087107D"/>
    <w:pPr>
      <w:spacing w:before="240" w:after="60"/>
      <w:jc w:val="center"/>
      <w:outlineLvl w:val="0"/>
    </w:pPr>
    <w:rPr>
      <w:rFonts w:ascii="Cambria" w:hAnsi="Cambria"/>
      <w:b/>
      <w:bCs/>
      <w:sz w:val="32"/>
      <w:szCs w:val="32"/>
    </w:rPr>
  </w:style>
  <w:style w:type="character" w:customStyle="1" w:styleId="Char1">
    <w:name w:val="标题 Char"/>
    <w:basedOn w:val="a0"/>
    <w:link w:val="a5"/>
    <w:uiPriority w:val="10"/>
    <w:locked/>
    <w:rsid w:val="0087107D"/>
    <w:rPr>
      <w:rFonts w:ascii="Cambria" w:eastAsia="宋体" w:hAnsi="Cambria" w:cs="Times New Roman"/>
      <w:b/>
      <w:bCs/>
      <w:sz w:val="32"/>
      <w:szCs w:val="32"/>
    </w:rPr>
  </w:style>
  <w:style w:type="paragraph" w:styleId="TOC">
    <w:name w:val="TOC Heading"/>
    <w:basedOn w:val="1"/>
    <w:next w:val="a"/>
    <w:uiPriority w:val="39"/>
    <w:semiHidden/>
    <w:unhideWhenUsed/>
    <w:qFormat/>
    <w:rsid w:val="0073020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73020E"/>
  </w:style>
  <w:style w:type="character" w:styleId="a6">
    <w:name w:val="Hyperlink"/>
    <w:basedOn w:val="a0"/>
    <w:uiPriority w:val="99"/>
    <w:unhideWhenUsed/>
    <w:rsid w:val="0073020E"/>
    <w:rPr>
      <w:rFonts w:cs="Times New Roman"/>
      <w:color w:val="0000FF" w:themeColor="hyperlink"/>
      <w:u w:val="single"/>
    </w:rPr>
  </w:style>
  <w:style w:type="paragraph" w:styleId="a7">
    <w:name w:val="Balloon Text"/>
    <w:basedOn w:val="a"/>
    <w:link w:val="Char2"/>
    <w:uiPriority w:val="99"/>
    <w:semiHidden/>
    <w:unhideWhenUsed/>
    <w:rsid w:val="009273FF"/>
    <w:rPr>
      <w:sz w:val="18"/>
      <w:szCs w:val="18"/>
    </w:rPr>
  </w:style>
  <w:style w:type="character" w:customStyle="1" w:styleId="Char2">
    <w:name w:val="批注框文本 Char"/>
    <w:basedOn w:val="a0"/>
    <w:link w:val="a7"/>
    <w:uiPriority w:val="99"/>
    <w:semiHidden/>
    <w:rsid w:val="009273FF"/>
    <w:rPr>
      <w:kern w:val="2"/>
      <w:sz w:val="18"/>
      <w:szCs w:val="18"/>
    </w:rPr>
  </w:style>
  <w:style w:type="paragraph" w:styleId="a8">
    <w:name w:val="Document Map"/>
    <w:basedOn w:val="a"/>
    <w:link w:val="Char3"/>
    <w:uiPriority w:val="99"/>
    <w:semiHidden/>
    <w:unhideWhenUsed/>
    <w:rsid w:val="004073BF"/>
    <w:rPr>
      <w:rFonts w:ascii="宋体"/>
      <w:sz w:val="18"/>
      <w:szCs w:val="18"/>
    </w:rPr>
  </w:style>
  <w:style w:type="character" w:customStyle="1" w:styleId="Char3">
    <w:name w:val="文档结构图 Char"/>
    <w:basedOn w:val="a0"/>
    <w:link w:val="a8"/>
    <w:uiPriority w:val="99"/>
    <w:semiHidden/>
    <w:rsid w:val="004073BF"/>
    <w:rPr>
      <w:rFonts w:ascii="宋体"/>
      <w:kern w:val="2"/>
      <w:sz w:val="18"/>
      <w:szCs w:val="18"/>
    </w:rPr>
  </w:style>
  <w:style w:type="character" w:styleId="a9">
    <w:name w:val="annotation reference"/>
    <w:basedOn w:val="a0"/>
    <w:uiPriority w:val="99"/>
    <w:semiHidden/>
    <w:unhideWhenUsed/>
    <w:rsid w:val="0016630A"/>
    <w:rPr>
      <w:sz w:val="21"/>
      <w:szCs w:val="21"/>
    </w:rPr>
  </w:style>
  <w:style w:type="paragraph" w:styleId="aa">
    <w:name w:val="annotation text"/>
    <w:basedOn w:val="a"/>
    <w:link w:val="Char4"/>
    <w:uiPriority w:val="99"/>
    <w:semiHidden/>
    <w:unhideWhenUsed/>
    <w:rsid w:val="0016630A"/>
    <w:pPr>
      <w:jc w:val="left"/>
    </w:pPr>
  </w:style>
  <w:style w:type="character" w:customStyle="1" w:styleId="Char4">
    <w:name w:val="批注文字 Char"/>
    <w:basedOn w:val="a0"/>
    <w:link w:val="aa"/>
    <w:uiPriority w:val="99"/>
    <w:semiHidden/>
    <w:rsid w:val="0016630A"/>
    <w:rPr>
      <w:kern w:val="2"/>
      <w:sz w:val="21"/>
      <w:szCs w:val="22"/>
    </w:rPr>
  </w:style>
  <w:style w:type="paragraph" w:styleId="ab">
    <w:name w:val="annotation subject"/>
    <w:basedOn w:val="aa"/>
    <w:next w:val="aa"/>
    <w:link w:val="Char5"/>
    <w:uiPriority w:val="99"/>
    <w:semiHidden/>
    <w:unhideWhenUsed/>
    <w:rsid w:val="0016630A"/>
    <w:rPr>
      <w:b/>
      <w:bCs/>
    </w:rPr>
  </w:style>
  <w:style w:type="character" w:customStyle="1" w:styleId="Char5">
    <w:name w:val="批注主题 Char"/>
    <w:basedOn w:val="Char4"/>
    <w:link w:val="ab"/>
    <w:uiPriority w:val="99"/>
    <w:semiHidden/>
    <w:rsid w:val="0016630A"/>
    <w:rPr>
      <w:b/>
      <w:bCs/>
    </w:rPr>
  </w:style>
  <w:style w:type="paragraph" w:styleId="ac">
    <w:name w:val="Revision"/>
    <w:hidden/>
    <w:uiPriority w:val="99"/>
    <w:semiHidden/>
    <w:rsid w:val="002D17BA"/>
    <w:rPr>
      <w:kern w:val="2"/>
      <w:sz w:val="21"/>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4C16B-6399-4A14-A929-856584E0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Pages>
  <Words>4238</Words>
  <Characters>24157</Characters>
  <Application>Microsoft Office Word</Application>
  <DocSecurity>0</DocSecurity>
  <Lines>201</Lines>
  <Paragraphs>56</Paragraphs>
  <ScaleCrop>false</ScaleCrop>
  <Company/>
  <LinksUpToDate>false</LinksUpToDate>
  <CharactersWithSpaces>28339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&lt;4D6963726F736F667420576F7264202D203034203230313530313139CFC4BFC9D7AAD5AED4F6C7BFD5AEC8AFCDD0B9DCD0ADD2E9A3A8B2DDB0B8A3A9636C65616E&gt;</dc:title>
  <dc:creator>libl</dc:creator>
  <cp:lastModifiedBy>xxpl</cp:lastModifiedBy>
  <cp:revision>57</cp:revision>
  <dcterms:created xsi:type="dcterms:W3CDTF">2016-03-17T07:56:00Z</dcterms:created>
  <dcterms:modified xsi:type="dcterms:W3CDTF">2016-08-22T09:17:00Z</dcterms:modified>
</cp:coreProperties>
</file>